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3849A">
      <w:pPr>
        <w:widowControl w:val="0"/>
        <w:numPr>
          <w:ilvl w:val="0"/>
          <w:numId w:val="0"/>
        </w:numPr>
        <w:tabs>
          <w:tab w:val="left" w:pos="1145"/>
        </w:tabs>
        <w:spacing w:line="360" w:lineRule="auto"/>
        <w:jc w:val="center"/>
        <w:rPr>
          <w:rFonts w:hint="eastAsia" w:ascii="宋体" w:hAnsi="宋体"/>
          <w:b/>
          <w:bCs/>
          <w:sz w:val="28"/>
          <w:szCs w:val="28"/>
          <w:highlight w:val="none"/>
          <w:lang w:eastAsia="zh-CN"/>
        </w:rPr>
      </w:pPr>
      <w:r>
        <w:rPr>
          <w:rFonts w:hint="eastAsia" w:ascii="宋体" w:hAnsi="宋体"/>
          <w:b/>
          <w:bCs/>
          <w:sz w:val="28"/>
          <w:szCs w:val="28"/>
          <w:highlight w:val="none"/>
          <w:lang w:eastAsia="zh-CN"/>
        </w:rPr>
        <w:t>综合评分表</w:t>
      </w:r>
    </w:p>
    <w:p w14:paraId="1BF3508C">
      <w:pPr>
        <w:pStyle w:val="4"/>
        <w:ind w:firstLine="359"/>
        <w:rPr>
          <w:rFonts w:ascii="黑体" w:hAnsi="黑体" w:eastAsia="黑体"/>
          <w:color w:val="000000"/>
          <w:sz w:val="22"/>
          <w:szCs w:val="22"/>
        </w:rPr>
      </w:pPr>
      <w:r>
        <w:rPr>
          <w:rFonts w:hint="eastAsia" w:ascii="黑体" w:hAnsi="黑体" w:eastAsia="黑体"/>
          <w:color w:val="000000"/>
          <w:sz w:val="22"/>
          <w:szCs w:val="22"/>
        </w:rPr>
        <w:t>一、评标方法</w:t>
      </w:r>
    </w:p>
    <w:p w14:paraId="5D109014">
      <w:pPr>
        <w:pStyle w:val="4"/>
        <w:ind w:firstLine="359"/>
        <w:rPr>
          <w:rFonts w:hint="eastAsia" w:ascii="宋体" w:hAnsi="宋体" w:eastAsia="宋体"/>
          <w:color w:val="000000"/>
          <w:kern w:val="0"/>
          <w:sz w:val="22"/>
          <w:szCs w:val="22"/>
          <w:lang w:eastAsia="zh-CN"/>
        </w:rPr>
      </w:pPr>
      <w:r>
        <w:rPr>
          <w:rFonts w:hint="eastAsia" w:ascii="宋体" w:hAnsi="宋体"/>
          <w:color w:val="000000"/>
          <w:kern w:val="0"/>
          <w:sz w:val="22"/>
          <w:szCs w:val="22"/>
        </w:rPr>
        <w:t>本次评标采用综合评分法，即在最大限度地满足招标文件实质性要求前提下，按服务、商务和价格三部分分别打分的方式进行评分。三项总分为100分，其中</w:t>
      </w:r>
      <w:r>
        <w:rPr>
          <w:rFonts w:hint="eastAsia" w:ascii="宋体" w:hAnsi="宋体"/>
          <w:color w:val="000000"/>
          <w:kern w:val="0"/>
          <w:sz w:val="22"/>
          <w:szCs w:val="22"/>
          <w:lang w:val="en-US" w:eastAsia="zh-CN"/>
        </w:rPr>
        <w:t>商务</w:t>
      </w:r>
      <w:r>
        <w:rPr>
          <w:rFonts w:hint="eastAsia" w:ascii="宋体" w:hAnsi="宋体"/>
          <w:color w:val="000000"/>
          <w:kern w:val="0"/>
          <w:sz w:val="22"/>
          <w:szCs w:val="22"/>
        </w:rPr>
        <w:t>得分占</w:t>
      </w:r>
      <w:r>
        <w:rPr>
          <w:rFonts w:hint="eastAsia" w:ascii="宋体" w:hAnsi="宋体"/>
          <w:color w:val="000000"/>
          <w:kern w:val="0"/>
          <w:sz w:val="22"/>
          <w:szCs w:val="22"/>
          <w:lang w:val="en-US" w:eastAsia="zh-CN"/>
        </w:rPr>
        <w:t>35</w:t>
      </w:r>
      <w:r>
        <w:rPr>
          <w:rFonts w:hint="eastAsia" w:ascii="宋体" w:hAnsi="宋体"/>
          <w:color w:val="000000"/>
          <w:kern w:val="0"/>
          <w:sz w:val="22"/>
          <w:szCs w:val="22"/>
        </w:rPr>
        <w:t>分，</w:t>
      </w:r>
      <w:r>
        <w:rPr>
          <w:rFonts w:hint="eastAsia" w:ascii="宋体" w:hAnsi="宋体"/>
          <w:color w:val="000000"/>
          <w:kern w:val="0"/>
          <w:sz w:val="22"/>
          <w:szCs w:val="22"/>
          <w:lang w:val="en-US" w:eastAsia="zh-CN"/>
        </w:rPr>
        <w:t>技术</w:t>
      </w:r>
      <w:r>
        <w:rPr>
          <w:rFonts w:hint="eastAsia" w:ascii="宋体" w:hAnsi="宋体"/>
          <w:color w:val="000000"/>
          <w:kern w:val="0"/>
          <w:sz w:val="22"/>
          <w:szCs w:val="22"/>
        </w:rPr>
        <w:t>得分占</w:t>
      </w:r>
      <w:r>
        <w:rPr>
          <w:rFonts w:hint="eastAsia" w:ascii="宋体" w:hAnsi="宋体"/>
          <w:color w:val="000000"/>
          <w:kern w:val="0"/>
          <w:sz w:val="22"/>
          <w:szCs w:val="22"/>
          <w:lang w:val="en-US" w:eastAsia="zh-CN"/>
        </w:rPr>
        <w:t>45</w:t>
      </w:r>
      <w:r>
        <w:rPr>
          <w:rFonts w:hint="eastAsia" w:ascii="宋体" w:hAnsi="宋体"/>
          <w:color w:val="000000"/>
          <w:kern w:val="0"/>
          <w:sz w:val="22"/>
          <w:szCs w:val="22"/>
        </w:rPr>
        <w:t>分，价格得分占</w:t>
      </w:r>
      <w:r>
        <w:rPr>
          <w:rFonts w:hint="eastAsia" w:ascii="宋体" w:hAnsi="宋体"/>
          <w:color w:val="000000"/>
          <w:kern w:val="0"/>
          <w:sz w:val="22"/>
          <w:szCs w:val="22"/>
          <w:lang w:val="en-US" w:eastAsia="zh-CN"/>
        </w:rPr>
        <w:t>2</w:t>
      </w:r>
      <w:r>
        <w:rPr>
          <w:rFonts w:hint="eastAsia" w:ascii="宋体" w:hAnsi="宋体"/>
          <w:color w:val="000000"/>
          <w:kern w:val="0"/>
          <w:sz w:val="22"/>
          <w:szCs w:val="22"/>
        </w:rPr>
        <w:t>0分</w:t>
      </w:r>
      <w:r>
        <w:rPr>
          <w:rFonts w:hint="eastAsia" w:ascii="宋体" w:hAnsi="宋体"/>
          <w:color w:val="000000"/>
          <w:kern w:val="0"/>
          <w:sz w:val="22"/>
          <w:szCs w:val="22"/>
          <w:lang w:eastAsia="zh-CN"/>
        </w:rPr>
        <w:t>。</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521"/>
        <w:gridCol w:w="1708"/>
        <w:gridCol w:w="5076"/>
      </w:tblGrid>
      <w:tr w14:paraId="0F7912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1" w:type="dxa"/>
          </w:tcPr>
          <w:p w14:paraId="78AA6BA7">
            <w:pPr>
              <w:jc w:val="center"/>
            </w:pPr>
            <w:r>
              <w:t>评审因素</w:t>
            </w:r>
          </w:p>
        </w:tc>
        <w:tc>
          <w:tcPr>
            <w:tcW w:w="6784" w:type="dxa"/>
            <w:gridSpan w:val="2"/>
          </w:tcPr>
          <w:p w14:paraId="70F5B2C3">
            <w:pPr>
              <w:jc w:val="center"/>
            </w:pPr>
            <w:r>
              <w:t>评审标准</w:t>
            </w:r>
          </w:p>
        </w:tc>
      </w:tr>
      <w:tr w14:paraId="77AC6E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1" w:type="dxa"/>
          </w:tcPr>
          <w:p w14:paraId="681F22E1">
            <w:pPr>
              <w:jc w:val="center"/>
            </w:pPr>
            <w:r>
              <w:t>分值构成</w:t>
            </w:r>
          </w:p>
        </w:tc>
        <w:tc>
          <w:tcPr>
            <w:tcW w:w="6784" w:type="dxa"/>
            <w:gridSpan w:val="2"/>
          </w:tcPr>
          <w:p w14:paraId="269A2BE8">
            <w:r>
              <w:t>商务部分35.0分</w:t>
            </w:r>
          </w:p>
          <w:p w14:paraId="09CFC72D">
            <w:r>
              <w:t>技术部分45.0分</w:t>
            </w:r>
          </w:p>
          <w:p w14:paraId="433B2414">
            <w:r>
              <w:t>报价得分20.0分</w:t>
            </w:r>
          </w:p>
        </w:tc>
      </w:tr>
      <w:tr w14:paraId="685640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1" w:type="dxa"/>
            <w:vMerge w:val="restart"/>
            <w:vAlign w:val="center"/>
          </w:tcPr>
          <w:p w14:paraId="550A2B42">
            <w:pPr>
              <w:jc w:val="center"/>
            </w:pPr>
            <w:r>
              <w:t>技术部分</w:t>
            </w:r>
          </w:p>
        </w:tc>
        <w:tc>
          <w:tcPr>
            <w:tcW w:w="1708" w:type="dxa"/>
            <w:vAlign w:val="center"/>
          </w:tcPr>
          <w:p w14:paraId="60E4A8BF">
            <w:pPr>
              <w:jc w:val="center"/>
            </w:pPr>
            <w:r>
              <w:t>保险服务方案 (15.0分)，（等次分值选择：0.0;1.0;8.0;15.0;）</w:t>
            </w:r>
          </w:p>
        </w:tc>
        <w:tc>
          <w:tcPr>
            <w:tcW w:w="5076" w:type="dxa"/>
          </w:tcPr>
          <w:p w14:paraId="5DB16139">
            <w:pPr>
              <w:jc w:val="left"/>
            </w:pPr>
            <w:r>
              <w:t>投标人的保险服务方案（包括但不限于服务要求响应、实施目标和具体特点、合理性和可操作性）情况：  服务方案全面详实，服务承诺内容对本项目有很多的实际指导意义或优化效果，具备完整的质量控制措施及完备的特殊情况处理措施，可操作性强，优于招标文件要求的，得15分；  服务方案全面，具备服务承诺、质量控制措施和特殊情况处理措施，有一定的可操作性，满足招标文件要求的，得8分； 提供服务方案，方案内容不完整，不具备可操作性，不完全满足招标文件要求的，得1分； 未提供服务方案或其他情况，不得分。</w:t>
            </w:r>
          </w:p>
        </w:tc>
      </w:tr>
      <w:tr w14:paraId="7394A9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1" w:type="dxa"/>
            <w:vMerge w:val="continue"/>
            <w:vAlign w:val="center"/>
          </w:tcPr>
          <w:p w14:paraId="74867C59">
            <w:pPr>
              <w:jc w:val="center"/>
            </w:pPr>
          </w:p>
        </w:tc>
        <w:tc>
          <w:tcPr>
            <w:tcW w:w="1708" w:type="dxa"/>
            <w:vAlign w:val="center"/>
          </w:tcPr>
          <w:p w14:paraId="3F0D9259">
            <w:pPr>
              <w:jc w:val="center"/>
            </w:pPr>
            <w:r>
              <w:t>理赔服务方案 (15.0分)，（等次分值选择：0.0;1.0;8.0;15.0;）</w:t>
            </w:r>
          </w:p>
        </w:tc>
        <w:tc>
          <w:tcPr>
            <w:tcW w:w="5076" w:type="dxa"/>
          </w:tcPr>
          <w:p w14:paraId="418B3841">
            <w:pPr>
              <w:jc w:val="left"/>
            </w:pPr>
            <w:r>
              <w:t>投标人的理赔服务方案的时效性合理性（包括但不限于理赔权限、理赔时效、快速通道、理赔单证、认可调解及鉴定结果的保障措施及承诺）情况：  方案详实，理赔制度完善，具备完整的保障措施及承诺，优于招标文件要求的，得15分； 方案全面，具备理赔制度、保障措施及承诺，符合招标文件要求的，得8分； 提供服务方案，方案内容不完整，不具备可操作性，不完全满足招标文件要求的，得1分； 未提供服务方案或其他情况，不得分。</w:t>
            </w:r>
          </w:p>
        </w:tc>
      </w:tr>
      <w:tr w14:paraId="0ECDFB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1" w:type="dxa"/>
            <w:vMerge w:val="continue"/>
            <w:vAlign w:val="center"/>
          </w:tcPr>
          <w:p w14:paraId="0F477798">
            <w:pPr>
              <w:jc w:val="center"/>
            </w:pPr>
          </w:p>
        </w:tc>
        <w:tc>
          <w:tcPr>
            <w:tcW w:w="1708" w:type="dxa"/>
            <w:vAlign w:val="center"/>
          </w:tcPr>
          <w:p w14:paraId="33B60803">
            <w:pPr>
              <w:jc w:val="center"/>
            </w:pPr>
            <w:r>
              <w:t>理赔时效 (</w:t>
            </w:r>
            <w:r>
              <w:rPr>
                <w:rFonts w:hint="eastAsia"/>
                <w:lang w:val="en-US" w:eastAsia="zh-CN"/>
              </w:rPr>
              <w:t>5</w:t>
            </w:r>
            <w:r>
              <w:t>.0分)</w:t>
            </w:r>
          </w:p>
        </w:tc>
        <w:tc>
          <w:tcPr>
            <w:tcW w:w="5076" w:type="dxa"/>
          </w:tcPr>
          <w:p w14:paraId="694F6F13">
            <w:pPr>
              <w:jc w:val="left"/>
            </w:pPr>
            <w:r>
              <w:t xml:space="preserve">投标人结案赔付时效承诺的评审，提供承诺（保险责任明确、资料齐全的前提下）：  （1）1万元以下（含1万元）的赔案，3个工作日内作出赔付；承诺3个工作日内赔付得1分，多一天扣0.5分，此项最低扣至0分；  （2）1—5万元（不含1万元，含5万元）的赔案，5个工作日内作出赔付；承诺5个工作日内赔付得2分，多一天扣0.5分，此项最低扣至0分；  （3）5—20万元（不含5万元，含20万元）的赔案，7个工作日内作出赔付；承诺7个工作日内赔付得2分，多一天扣0.5分，此项最低扣至0分；  （4）20—30万元（不含20万元，含30万元）的赔案，10个工作日内作出赔付；承诺10个工作日内赔付得2分，多一天扣0.5分，此项最低扣至0分；  （5）30万元以上（不含30万元）的赔案在15个工作日内作出赔付。承诺15个工作日内赔付得2分，多一天扣0.5分，此项最低扣至0分；  </w:t>
            </w:r>
          </w:p>
          <w:p w14:paraId="46439B21">
            <w:pPr>
              <w:jc w:val="left"/>
            </w:pPr>
            <w:r>
              <w:rPr>
                <w:b/>
                <w:bCs/>
              </w:rPr>
              <w:t>注：请提供承诺加盖公章作为评审依据，无提供不得分。</w:t>
            </w:r>
          </w:p>
        </w:tc>
      </w:tr>
      <w:tr w14:paraId="1F9F8E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1" w:type="dxa"/>
            <w:vMerge w:val="continue"/>
            <w:vAlign w:val="center"/>
          </w:tcPr>
          <w:p w14:paraId="3DA4C9CC">
            <w:pPr>
              <w:jc w:val="center"/>
            </w:pPr>
          </w:p>
        </w:tc>
        <w:tc>
          <w:tcPr>
            <w:tcW w:w="1708" w:type="dxa"/>
            <w:vAlign w:val="center"/>
          </w:tcPr>
          <w:p w14:paraId="01E37439">
            <w:pPr>
              <w:jc w:val="center"/>
            </w:pPr>
            <w:r>
              <w:t>服务人员配置 (</w:t>
            </w:r>
            <w:r>
              <w:rPr>
                <w:rFonts w:hint="eastAsia"/>
                <w:lang w:val="en-US" w:eastAsia="zh-CN"/>
              </w:rPr>
              <w:t>10</w:t>
            </w:r>
            <w:r>
              <w:t>分)</w:t>
            </w:r>
          </w:p>
        </w:tc>
        <w:tc>
          <w:tcPr>
            <w:tcW w:w="5076" w:type="dxa"/>
          </w:tcPr>
          <w:p w14:paraId="717F539A">
            <w:pPr>
              <w:widowControl/>
              <w:wordWrap w:val="0"/>
              <w:spacing w:line="276" w:lineRule="auto"/>
              <w:jc w:val="left"/>
              <w:rPr>
                <w:rFonts w:ascii="Times New Roman" w:hAnsi="Times New Roman"/>
                <w:kern w:val="0"/>
                <w:szCs w:val="21"/>
              </w:rPr>
            </w:pPr>
            <w:r>
              <w:rPr>
                <w:rFonts w:ascii="Times New Roman" w:hAnsi="Times New Roman"/>
                <w:kern w:val="0"/>
                <w:szCs w:val="21"/>
              </w:rPr>
              <w:t>（1）投标人服务人员配置方案完善，拟投入本项目服务人员人员数量≥5人，人员构成科学合理，职责分工明确，管理方案详实，投入医学、保险、法律相关专业背景（大专/大专以上学历；或初级/初级以上职称）的服务人员，满足或优于本项目要求，得10分。</w:t>
            </w:r>
          </w:p>
          <w:p w14:paraId="349F9CFF">
            <w:pPr>
              <w:widowControl/>
              <w:wordWrap w:val="0"/>
              <w:spacing w:line="276" w:lineRule="auto"/>
              <w:jc w:val="left"/>
              <w:rPr>
                <w:rFonts w:ascii="Times New Roman" w:hAnsi="Times New Roman"/>
                <w:kern w:val="0"/>
                <w:szCs w:val="21"/>
              </w:rPr>
            </w:pPr>
            <w:r>
              <w:rPr>
                <w:rFonts w:ascii="Times New Roman" w:hAnsi="Times New Roman"/>
                <w:kern w:val="0"/>
                <w:szCs w:val="21"/>
              </w:rPr>
              <w:t>（2）方案可行，3≤拟投入本项目服务人员人员数量＜5人，人员构成较合理，投入医学、保险相关专业背景（大专/大专以上学历；或初级/初级以上职称）的服务人员，满足本项目要求，得5分；</w:t>
            </w:r>
          </w:p>
          <w:p w14:paraId="77D6C67C">
            <w:pPr>
              <w:widowControl/>
              <w:wordWrap w:val="0"/>
              <w:spacing w:line="276" w:lineRule="auto"/>
              <w:jc w:val="left"/>
              <w:rPr>
                <w:rFonts w:ascii="Times New Roman" w:hAnsi="Times New Roman"/>
                <w:kern w:val="0"/>
                <w:szCs w:val="21"/>
              </w:rPr>
            </w:pPr>
            <w:r>
              <w:rPr>
                <w:rFonts w:ascii="Times New Roman" w:hAnsi="Times New Roman"/>
                <w:kern w:val="0"/>
                <w:szCs w:val="21"/>
              </w:rPr>
              <w:t>（3）方案不可行，拟投入本项目服务人员人员数量＜3人，或人员构成不合理，或没有医学相关专业背景的服务人员，不得分。</w:t>
            </w:r>
          </w:p>
          <w:p w14:paraId="00A560CA">
            <w:pPr>
              <w:jc w:val="left"/>
            </w:pPr>
            <w:r>
              <w:rPr>
                <w:rFonts w:ascii="Times New Roman" w:hAnsi="Times New Roman"/>
                <w:b/>
                <w:kern w:val="0"/>
                <w:szCs w:val="21"/>
              </w:rPr>
              <w:t>注：提供上述人员的学历（或资质）及社保证明材料，不提供不得分。</w:t>
            </w:r>
          </w:p>
        </w:tc>
      </w:tr>
      <w:tr w14:paraId="7232EE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1" w:type="dxa"/>
            <w:vMerge w:val="restart"/>
            <w:vAlign w:val="center"/>
          </w:tcPr>
          <w:p w14:paraId="5AA272B3">
            <w:pPr>
              <w:jc w:val="center"/>
            </w:pPr>
            <w:r>
              <w:t>商务部分</w:t>
            </w:r>
          </w:p>
        </w:tc>
        <w:tc>
          <w:tcPr>
            <w:tcW w:w="1708" w:type="dxa"/>
            <w:vAlign w:val="center"/>
          </w:tcPr>
          <w:p w14:paraId="21194424">
            <w:pPr>
              <w:jc w:val="center"/>
            </w:pPr>
            <w:r>
              <w:t>同类项目服务或承保经验 (15.0分)</w:t>
            </w:r>
          </w:p>
        </w:tc>
        <w:tc>
          <w:tcPr>
            <w:tcW w:w="5076" w:type="dxa"/>
          </w:tcPr>
          <w:p w14:paraId="39C8EE82">
            <w:pPr>
              <w:widowControl/>
              <w:wordWrap w:val="0"/>
              <w:spacing w:line="276" w:lineRule="auto"/>
              <w:jc w:val="left"/>
              <w:rPr>
                <w:rFonts w:ascii="Times New Roman" w:hAnsi="Times New Roman"/>
                <w:kern w:val="0"/>
                <w:szCs w:val="21"/>
              </w:rPr>
            </w:pPr>
            <w:r>
              <w:rPr>
                <w:rFonts w:ascii="Times New Roman" w:hAnsi="Times New Roman"/>
                <w:kern w:val="0"/>
                <w:szCs w:val="21"/>
              </w:rPr>
              <w:t>投标人202</w:t>
            </w:r>
            <w:r>
              <w:rPr>
                <w:rFonts w:hint="eastAsia" w:ascii="Times New Roman" w:hAnsi="Times New Roman"/>
                <w:kern w:val="0"/>
                <w:szCs w:val="21"/>
              </w:rPr>
              <w:t>1</w:t>
            </w:r>
            <w:r>
              <w:rPr>
                <w:rFonts w:ascii="Times New Roman" w:hAnsi="Times New Roman"/>
                <w:kern w:val="0"/>
                <w:szCs w:val="21"/>
              </w:rPr>
              <w:t>年1月1日至今医疗责任保险服务或承保经验数量：</w:t>
            </w:r>
          </w:p>
          <w:p w14:paraId="57BB71CF">
            <w:pPr>
              <w:spacing w:line="360" w:lineRule="auto"/>
              <w:rPr>
                <w:rFonts w:hint="eastAsia" w:ascii="宋体" w:hAnsi="宋体" w:eastAsia="宋体" w:cs="宋体"/>
                <w:bCs/>
                <w:kern w:val="2"/>
                <w:sz w:val="24"/>
                <w:szCs w:val="24"/>
              </w:rPr>
            </w:pPr>
            <w:r>
              <w:rPr>
                <w:rFonts w:hint="eastAsia" w:ascii="宋体" w:hAnsi="宋体" w:eastAsia="宋体" w:cs="宋体"/>
                <w:kern w:val="2"/>
                <w:sz w:val="24"/>
                <w:szCs w:val="24"/>
              </w:rPr>
              <w:t>每提供一份医疗责任保险服务或承保经</w:t>
            </w:r>
            <w:bookmarkStart w:id="0" w:name="_GoBack"/>
            <w:bookmarkEnd w:id="0"/>
            <w:r>
              <w:rPr>
                <w:rFonts w:hint="eastAsia" w:ascii="宋体" w:hAnsi="宋体" w:eastAsia="宋体" w:cs="宋体"/>
                <w:kern w:val="2"/>
                <w:sz w:val="24"/>
                <w:szCs w:val="24"/>
              </w:rPr>
              <w:t>验得1分，</w:t>
            </w:r>
            <w:r>
              <w:rPr>
                <w:rFonts w:hint="eastAsia" w:ascii="宋体" w:hAnsi="宋体" w:eastAsia="宋体" w:cs="宋体"/>
                <w:bCs/>
                <w:kern w:val="2"/>
                <w:sz w:val="24"/>
                <w:szCs w:val="24"/>
              </w:rPr>
              <w:t>本项合计最高得</w:t>
            </w:r>
            <w:r>
              <w:rPr>
                <w:rFonts w:hint="eastAsia" w:ascii="宋体" w:hAnsi="宋体" w:cs="宋体"/>
                <w:bCs/>
                <w:kern w:val="2"/>
                <w:sz w:val="24"/>
                <w:szCs w:val="24"/>
                <w:lang w:val="en-US" w:eastAsia="zh-CN"/>
              </w:rPr>
              <w:t>15</w:t>
            </w:r>
            <w:r>
              <w:rPr>
                <w:rFonts w:hint="eastAsia" w:ascii="宋体" w:hAnsi="宋体" w:eastAsia="宋体" w:cs="宋体"/>
                <w:bCs/>
                <w:kern w:val="2"/>
                <w:sz w:val="24"/>
                <w:szCs w:val="24"/>
              </w:rPr>
              <w:t>分。</w:t>
            </w:r>
          </w:p>
          <w:p w14:paraId="2900D1BF">
            <w:pPr>
              <w:jc w:val="left"/>
            </w:pPr>
            <w:r>
              <w:rPr>
                <w:rFonts w:ascii="Times New Roman" w:hAnsi="Times New Roman"/>
                <w:b/>
                <w:kern w:val="0"/>
                <w:szCs w:val="21"/>
              </w:rPr>
              <w:t>注：提供承保或服务保险合同/保单/服务协议关键页，不提供不得分。如投标人为分公司或分支机构的，不共享上级公司或总公司的服务或承保经验，同一被保险人不得重复计算。</w:t>
            </w:r>
          </w:p>
        </w:tc>
      </w:tr>
      <w:tr w14:paraId="792B67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1" w:type="dxa"/>
            <w:vMerge w:val="continue"/>
            <w:vAlign w:val="center"/>
          </w:tcPr>
          <w:p w14:paraId="3317C252">
            <w:pPr>
              <w:jc w:val="center"/>
            </w:pPr>
          </w:p>
        </w:tc>
        <w:tc>
          <w:tcPr>
            <w:tcW w:w="1708" w:type="dxa"/>
            <w:vAlign w:val="center"/>
          </w:tcPr>
          <w:p w14:paraId="370D181D">
            <w:pPr>
              <w:jc w:val="center"/>
            </w:pPr>
            <w:r>
              <w:rPr>
                <w:rFonts w:hint="eastAsia"/>
                <w:lang w:val="en-US" w:eastAsia="zh-CN"/>
              </w:rPr>
              <w:t>履约服务能力</w:t>
            </w:r>
            <w:r>
              <w:t xml:space="preserve"> (10.0分)</w:t>
            </w:r>
          </w:p>
        </w:tc>
        <w:tc>
          <w:tcPr>
            <w:tcW w:w="5076" w:type="dxa"/>
          </w:tcPr>
          <w:p w14:paraId="7A6ED331">
            <w:pPr>
              <w:spacing w:line="360" w:lineRule="auto"/>
              <w:rPr>
                <w:rFonts w:hint="eastAsia" w:ascii="宋体" w:hAnsi="宋体" w:eastAsia="宋体" w:cs="宋体"/>
                <w:sz w:val="24"/>
                <w:szCs w:val="24"/>
              </w:rPr>
            </w:pPr>
            <w:r>
              <w:rPr>
                <w:rFonts w:hint="eastAsia" w:ascii="宋体" w:hAnsi="宋体"/>
                <w:kern w:val="2"/>
                <w:sz w:val="24"/>
                <w:szCs w:val="24"/>
              </w:rPr>
              <w:t>投标人</w:t>
            </w:r>
            <w:r>
              <w:rPr>
                <w:rFonts w:hint="eastAsia" w:ascii="宋体" w:hAnsi="宋体" w:cs="宋体"/>
                <w:sz w:val="24"/>
                <w:szCs w:val="24"/>
              </w:rPr>
              <w:t>具备与人民调解机构理赔衔接</w:t>
            </w:r>
            <w:r>
              <w:rPr>
                <w:rFonts w:hint="eastAsia" w:ascii="宋体" w:hAnsi="宋体" w:eastAsia="宋体" w:cs="宋体"/>
                <w:sz w:val="24"/>
                <w:szCs w:val="24"/>
              </w:rPr>
              <w:t>的</w:t>
            </w:r>
            <w:r>
              <w:rPr>
                <w:rFonts w:hint="eastAsia" w:ascii="宋体" w:hAnsi="宋体" w:cs="宋体"/>
                <w:sz w:val="24"/>
                <w:szCs w:val="24"/>
              </w:rPr>
              <w:t>履约能力</w:t>
            </w:r>
            <w:r>
              <w:rPr>
                <w:rFonts w:hint="eastAsia" w:ascii="宋体" w:hAnsi="宋体" w:eastAsia="宋体" w:cs="宋体"/>
                <w:sz w:val="24"/>
                <w:szCs w:val="24"/>
              </w:rPr>
              <w:t>，</w:t>
            </w:r>
            <w:r>
              <w:rPr>
                <w:rFonts w:hint="eastAsia" w:ascii="宋体" w:hAnsi="宋体" w:cs="宋体"/>
                <w:sz w:val="24"/>
                <w:szCs w:val="24"/>
              </w:rPr>
              <w:t>投标人分别按照以下类型提供理赔履约经验：</w:t>
            </w:r>
          </w:p>
          <w:p w14:paraId="0D50C3FD">
            <w:pPr>
              <w:widowControl w:val="0"/>
              <w:numPr>
                <w:ilvl w:val="0"/>
                <w:numId w:val="1"/>
              </w:numPr>
              <w:kinsoku/>
              <w:autoSpaceDE/>
              <w:autoSpaceDN/>
              <w:spacing w:line="360" w:lineRule="auto"/>
              <w:jc w:val="both"/>
              <w:textAlignment w:val="auto"/>
              <w:rPr>
                <w:rFonts w:hint="eastAsia" w:ascii="宋体" w:hAnsi="宋体" w:eastAsia="宋体" w:cs="宋体"/>
                <w:kern w:val="2"/>
                <w:sz w:val="24"/>
                <w:szCs w:val="24"/>
              </w:rPr>
            </w:pPr>
            <w:r>
              <w:rPr>
                <w:rFonts w:hint="eastAsia" w:ascii="宋体" w:hAnsi="宋体" w:cs="宋体"/>
                <w:kern w:val="2"/>
                <w:sz w:val="24"/>
                <w:szCs w:val="24"/>
              </w:rPr>
              <w:t>每提供一份理赔业绩得1分，本项最高得</w:t>
            </w:r>
            <w:r>
              <w:rPr>
                <w:rFonts w:hint="eastAsia" w:ascii="宋体" w:hAnsi="宋体" w:cs="宋体"/>
                <w:kern w:val="2"/>
                <w:sz w:val="24"/>
                <w:szCs w:val="24"/>
                <w:lang w:val="en-US" w:eastAsia="zh-CN"/>
              </w:rPr>
              <w:t>10</w:t>
            </w:r>
            <w:r>
              <w:rPr>
                <w:rFonts w:hint="eastAsia" w:ascii="宋体" w:hAnsi="宋体" w:cs="宋体"/>
                <w:kern w:val="2"/>
                <w:sz w:val="24"/>
                <w:szCs w:val="24"/>
              </w:rPr>
              <w:t>分</w:t>
            </w:r>
            <w:r>
              <w:rPr>
                <w:rFonts w:hint="eastAsia" w:ascii="宋体" w:hAnsi="宋体" w:eastAsia="宋体" w:cs="宋体"/>
                <w:kern w:val="2"/>
                <w:sz w:val="24"/>
                <w:szCs w:val="24"/>
                <w:lang w:eastAsia="zh-CN"/>
              </w:rPr>
              <w:t>。</w:t>
            </w:r>
          </w:p>
          <w:p w14:paraId="75D02183">
            <w:pPr>
              <w:jc w:val="left"/>
            </w:pPr>
            <w:r>
              <w:rPr>
                <w:rFonts w:hint="eastAsia" w:ascii="宋体" w:hAnsi="宋体" w:eastAsia="宋体" w:cs="宋体"/>
                <w:b/>
                <w:kern w:val="2"/>
                <w:sz w:val="24"/>
                <w:szCs w:val="24"/>
              </w:rPr>
              <w:t>（注：提供</w:t>
            </w:r>
            <w:r>
              <w:rPr>
                <w:rFonts w:hint="eastAsia" w:ascii="宋体" w:hAnsi="宋体" w:cs="宋体"/>
                <w:b/>
                <w:kern w:val="2"/>
                <w:sz w:val="24"/>
                <w:szCs w:val="24"/>
              </w:rPr>
              <w:t>以人民调解协议作为理赔结论的赔付案例，人民调解协议书和保险划款凭证金额一致</w:t>
            </w:r>
            <w:r>
              <w:rPr>
                <w:rFonts w:hint="eastAsia" w:ascii="宋体" w:hAnsi="宋体" w:eastAsia="宋体" w:cs="宋体"/>
                <w:b/>
                <w:kern w:val="2"/>
                <w:sz w:val="24"/>
                <w:szCs w:val="24"/>
              </w:rPr>
              <w:t>作为评审依据，无提供不得分。）</w:t>
            </w:r>
            <w:r>
              <w:rPr>
                <w:b/>
                <w:bCs/>
              </w:rPr>
              <w:t>。</w:t>
            </w:r>
          </w:p>
        </w:tc>
      </w:tr>
      <w:tr w14:paraId="562E32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1" w:type="dxa"/>
            <w:vMerge w:val="continue"/>
            <w:vAlign w:val="center"/>
          </w:tcPr>
          <w:p w14:paraId="520C5075">
            <w:pPr>
              <w:jc w:val="center"/>
            </w:pPr>
          </w:p>
        </w:tc>
        <w:tc>
          <w:tcPr>
            <w:tcW w:w="1708" w:type="dxa"/>
            <w:vAlign w:val="center"/>
          </w:tcPr>
          <w:p w14:paraId="70C45FA5">
            <w:pPr>
              <w:jc w:val="center"/>
            </w:pPr>
            <w:r>
              <w:rPr>
                <w:rFonts w:hint="eastAsia"/>
                <w:lang w:val="zh-CN"/>
              </w:rPr>
              <w:t>风险综合评级（</w:t>
            </w:r>
            <w:r>
              <w:rPr>
                <w:rFonts w:hint="eastAsia"/>
                <w:lang w:val="en-US" w:eastAsia="zh-CN"/>
              </w:rPr>
              <w:t>5.0分</w:t>
            </w:r>
            <w:r>
              <w:rPr>
                <w:rFonts w:hint="eastAsia"/>
                <w:lang w:val="zh-CN"/>
              </w:rPr>
              <w:t>）</w:t>
            </w:r>
          </w:p>
        </w:tc>
        <w:tc>
          <w:tcPr>
            <w:tcW w:w="5076" w:type="dxa"/>
            <w:vAlign w:val="top"/>
          </w:tcPr>
          <w:p w14:paraId="6A53346A">
            <w:pPr>
              <w:jc w:val="center"/>
              <w:rPr>
                <w:rFonts w:hint="eastAsia"/>
              </w:rPr>
            </w:pPr>
            <w:r>
              <w:rPr>
                <w:rFonts w:hint="eastAsia"/>
              </w:rPr>
              <w:t>风险综合评级为A类的得5分，风险综合评级为B类的得3分，风险综合评级为C类或D类的得0分。</w:t>
            </w:r>
          </w:p>
          <w:p w14:paraId="7516B85E">
            <w:pPr>
              <w:jc w:val="center"/>
              <w:rPr>
                <w:rFonts w:hint="eastAsia"/>
                <w:lang w:eastAsia="zh-CN"/>
              </w:rPr>
            </w:pPr>
            <w:r>
              <w:rPr>
                <w:rFonts w:hint="eastAsia"/>
                <w:b/>
                <w:bCs/>
              </w:rPr>
              <w:t>（</w:t>
            </w:r>
            <w:r>
              <w:rPr>
                <w:rFonts w:hint="eastAsia"/>
                <w:b/>
                <w:bCs/>
                <w:lang w:val="en-US" w:eastAsia="zh-CN"/>
              </w:rPr>
              <w:t>注：</w:t>
            </w:r>
            <w:r>
              <w:rPr>
                <w:rFonts w:hint="eastAsia"/>
                <w:b/>
                <w:bCs/>
              </w:rPr>
              <w:t>须提供最新C-ROSS中国银保监会偿二代监管信息系统风险综合评级结果的截屏复印件或扫描件并加</w:t>
            </w:r>
            <w:r>
              <w:rPr>
                <w:rFonts w:hint="eastAsia"/>
                <w:b/>
                <w:bCs/>
                <w:lang w:val="en-US" w:eastAsia="zh-CN"/>
              </w:rPr>
              <w:t>投标人</w:t>
            </w:r>
            <w:r>
              <w:rPr>
                <w:rFonts w:hint="eastAsia"/>
                <w:b/>
                <w:bCs/>
              </w:rPr>
              <w:t>公章，未提供不得分。</w:t>
            </w:r>
            <w:r>
              <w:rPr>
                <w:rFonts w:hint="eastAsia"/>
                <w:b/>
                <w:bCs/>
                <w:lang w:eastAsia="zh-CN"/>
              </w:rPr>
              <w:t>）</w:t>
            </w:r>
          </w:p>
        </w:tc>
      </w:tr>
      <w:tr w14:paraId="652BFF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1" w:type="dxa"/>
            <w:vMerge w:val="continue"/>
            <w:vAlign w:val="center"/>
          </w:tcPr>
          <w:p w14:paraId="58EE8B3C">
            <w:pPr>
              <w:jc w:val="center"/>
            </w:pPr>
          </w:p>
        </w:tc>
        <w:tc>
          <w:tcPr>
            <w:tcW w:w="1708" w:type="dxa"/>
            <w:vAlign w:val="center"/>
          </w:tcPr>
          <w:p w14:paraId="4067C6C1">
            <w:pPr>
              <w:jc w:val="center"/>
            </w:pPr>
            <w:r>
              <w:t>综合偿付能力充足率 (</w:t>
            </w:r>
            <w:r>
              <w:rPr>
                <w:rFonts w:hint="eastAsia"/>
                <w:lang w:val="en-US" w:eastAsia="zh-CN"/>
              </w:rPr>
              <w:t>5.0</w:t>
            </w:r>
            <w:r>
              <w:t>分)</w:t>
            </w:r>
          </w:p>
        </w:tc>
        <w:tc>
          <w:tcPr>
            <w:tcW w:w="5076" w:type="dxa"/>
          </w:tcPr>
          <w:p w14:paraId="5BBF94FD">
            <w:pPr>
              <w:numPr>
                <w:ilvl w:val="0"/>
                <w:numId w:val="2"/>
              </w:numPr>
              <w:jc w:val="left"/>
            </w:pPr>
            <w:r>
              <w:t>综合偿付能力充足率≥230%的得</w:t>
            </w:r>
            <w:r>
              <w:rPr>
                <w:rFonts w:hint="eastAsia"/>
                <w:lang w:val="en-US" w:eastAsia="zh-CN"/>
              </w:rPr>
              <w:t>5</w:t>
            </w:r>
            <w:r>
              <w:t>分；  2、230%＞综合偿付能力充足率≥210%的得</w:t>
            </w:r>
            <w:r>
              <w:rPr>
                <w:rFonts w:hint="eastAsia"/>
                <w:lang w:val="en-US" w:eastAsia="zh-CN"/>
              </w:rPr>
              <w:t>4</w:t>
            </w:r>
            <w:r>
              <w:t>分；  3、210%＞综合偿付能力充足率≥190%的得</w:t>
            </w:r>
            <w:r>
              <w:rPr>
                <w:rFonts w:hint="eastAsia"/>
                <w:lang w:val="en-US" w:eastAsia="zh-CN"/>
              </w:rPr>
              <w:t>3</w:t>
            </w:r>
            <w:r>
              <w:t>分； 4、190%＞综合偿付能力充足率≥170%的得</w:t>
            </w:r>
            <w:r>
              <w:rPr>
                <w:rFonts w:hint="eastAsia"/>
                <w:lang w:val="en-US" w:eastAsia="zh-CN"/>
              </w:rPr>
              <w:t>2</w:t>
            </w:r>
            <w:r>
              <w:t>分；  5、170%＞综合偿付能力充足率＞150%的得</w:t>
            </w:r>
            <w:r>
              <w:rPr>
                <w:rFonts w:hint="eastAsia"/>
                <w:lang w:val="en-US" w:eastAsia="zh-CN"/>
              </w:rPr>
              <w:t>1</w:t>
            </w:r>
            <w:r>
              <w:t xml:space="preserve">分；  6、150%≥综合偿付能力充足率的不得分。 </w:t>
            </w:r>
          </w:p>
          <w:p w14:paraId="67DD4E10">
            <w:pPr>
              <w:numPr>
                <w:ilvl w:val="0"/>
                <w:numId w:val="0"/>
              </w:numPr>
              <w:jc w:val="left"/>
            </w:pPr>
            <w:r>
              <w:rPr>
                <w:b/>
                <w:bCs/>
              </w:rPr>
              <w:t xml:space="preserve"> 注：以季度为单位，提供投标人202</w:t>
            </w:r>
            <w:r>
              <w:rPr>
                <w:rFonts w:hint="eastAsia"/>
                <w:b/>
                <w:bCs/>
                <w:lang w:val="en-US" w:eastAsia="zh-CN"/>
              </w:rPr>
              <w:t>3</w:t>
            </w:r>
            <w:r>
              <w:rPr>
                <w:b/>
                <w:bCs/>
              </w:rPr>
              <w:t>年至今任意一个季度的数据作为证明材料。</w:t>
            </w:r>
          </w:p>
        </w:tc>
      </w:tr>
      <w:tr w14:paraId="69030D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21" w:type="dxa"/>
            <w:vAlign w:val="center"/>
          </w:tcPr>
          <w:p w14:paraId="22551EC3">
            <w:pPr>
              <w:jc w:val="center"/>
            </w:pPr>
            <w:r>
              <w:t>投标报价</w:t>
            </w:r>
          </w:p>
        </w:tc>
        <w:tc>
          <w:tcPr>
            <w:tcW w:w="1708" w:type="dxa"/>
            <w:vAlign w:val="center"/>
          </w:tcPr>
          <w:p w14:paraId="1C24AB50">
            <w:pPr>
              <w:jc w:val="center"/>
            </w:pPr>
            <w:r>
              <w:t>投标报价得分 (20.0分)</w:t>
            </w:r>
          </w:p>
        </w:tc>
        <w:tc>
          <w:tcPr>
            <w:tcW w:w="5076" w:type="dxa"/>
          </w:tcPr>
          <w:p w14:paraId="3FC5D4FE">
            <w:pPr>
              <w:jc w:val="left"/>
            </w:pPr>
            <w: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14:paraId="09D52AFC">
      <w:pPr>
        <w:pStyle w:val="7"/>
        <w:rPr>
          <w:color w:val="auto"/>
          <w:highlight w:val="none"/>
        </w:rPr>
      </w:pPr>
    </w:p>
    <w:p w14:paraId="0904CC36">
      <w:pPr>
        <w:pStyle w:val="7"/>
        <w:ind w:firstLine="964" w:firstLineChars="400"/>
        <w:rPr>
          <w:rFonts w:hint="eastAsia" w:ascii="宋体" w:hAnsi="宋体" w:cs="宋体"/>
          <w:b/>
          <w:bCs/>
          <w:color w:val="auto"/>
          <w:sz w:val="24"/>
          <w:szCs w:val="24"/>
        </w:rPr>
      </w:pPr>
    </w:p>
    <w:p w14:paraId="0E4C95F2">
      <w:pPr>
        <w:pStyle w:val="7"/>
        <w:ind w:firstLine="964" w:firstLineChars="400"/>
        <w:rPr>
          <w:rFonts w:hint="eastAsia" w:ascii="宋体" w:hAnsi="宋体" w:cs="宋体"/>
          <w:b/>
          <w:bCs/>
          <w:color w:val="auto"/>
          <w:sz w:val="24"/>
          <w:szCs w:val="24"/>
        </w:rPr>
      </w:pPr>
    </w:p>
    <w:p w14:paraId="44C40267">
      <w:pPr>
        <w:pStyle w:val="7"/>
        <w:ind w:firstLine="964" w:firstLineChars="400"/>
        <w:rPr>
          <w:rFonts w:hint="eastAsia" w:ascii="宋体" w:hAnsi="宋体" w:cs="宋体"/>
          <w:b/>
          <w:bCs/>
          <w:color w:val="auto"/>
          <w:sz w:val="24"/>
          <w:szCs w:val="24"/>
        </w:rPr>
      </w:pPr>
    </w:p>
    <w:p w14:paraId="1A85EBF2">
      <w:pPr>
        <w:pStyle w:val="7"/>
        <w:ind w:firstLine="964" w:firstLineChars="400"/>
        <w:rPr>
          <w:rFonts w:hint="eastAsia" w:ascii="宋体" w:hAnsi="宋体" w:cs="宋体"/>
          <w:b/>
          <w:bCs/>
          <w:color w:val="auto"/>
          <w:sz w:val="24"/>
          <w:szCs w:val="24"/>
        </w:rPr>
      </w:pPr>
    </w:p>
    <w:p w14:paraId="3AD16E2D">
      <w:pPr>
        <w:pStyle w:val="7"/>
        <w:ind w:firstLine="964" w:firstLineChars="400"/>
        <w:rPr>
          <w:rFonts w:hint="eastAsia" w:ascii="宋体" w:hAnsi="宋体" w:cs="宋体"/>
          <w:b/>
          <w:bCs/>
          <w:color w:val="auto"/>
          <w:sz w:val="24"/>
          <w:szCs w:val="24"/>
        </w:rPr>
      </w:pPr>
    </w:p>
    <w:p w14:paraId="403068E8">
      <w:pPr>
        <w:pStyle w:val="7"/>
        <w:ind w:firstLine="964" w:firstLineChars="400"/>
        <w:rPr>
          <w:rFonts w:hint="eastAsia" w:ascii="宋体" w:hAnsi="宋体" w:cs="宋体"/>
          <w:b/>
          <w:bCs/>
          <w:color w:val="auto"/>
          <w:sz w:val="24"/>
          <w:szCs w:val="24"/>
        </w:rPr>
      </w:pPr>
    </w:p>
    <w:p w14:paraId="3362C55C">
      <w:pPr>
        <w:pStyle w:val="7"/>
        <w:ind w:firstLine="964" w:firstLineChars="400"/>
        <w:rPr>
          <w:rFonts w:hint="eastAsia" w:ascii="宋体" w:hAnsi="宋体" w:cs="宋体"/>
          <w:b/>
          <w:bCs/>
          <w:color w:val="auto"/>
          <w:sz w:val="24"/>
          <w:szCs w:val="24"/>
        </w:rPr>
      </w:pPr>
    </w:p>
    <w:p w14:paraId="4A422D80">
      <w:pPr>
        <w:pStyle w:val="7"/>
        <w:ind w:firstLine="964" w:firstLineChars="400"/>
        <w:rPr>
          <w:rFonts w:hint="eastAsia" w:ascii="宋体" w:hAnsi="宋体" w:cs="宋体"/>
          <w:b/>
          <w:bCs/>
          <w:color w:val="auto"/>
          <w:sz w:val="24"/>
          <w:szCs w:val="24"/>
        </w:rPr>
      </w:pPr>
    </w:p>
    <w:p w14:paraId="6E5D1634">
      <w:pPr>
        <w:pStyle w:val="7"/>
        <w:ind w:firstLine="964" w:firstLineChars="400"/>
        <w:rPr>
          <w:rFonts w:hint="eastAsia" w:ascii="宋体" w:hAnsi="宋体" w:cs="宋体"/>
          <w:b/>
          <w:bCs/>
          <w:color w:val="auto"/>
          <w:sz w:val="24"/>
          <w:szCs w:val="24"/>
        </w:rPr>
      </w:pPr>
    </w:p>
    <w:p w14:paraId="7148959A">
      <w:pPr>
        <w:pStyle w:val="7"/>
        <w:ind w:firstLine="964" w:firstLineChars="400"/>
        <w:rPr>
          <w:rFonts w:hint="eastAsia" w:ascii="宋体" w:hAnsi="宋体" w:cs="宋体"/>
          <w:b/>
          <w:bCs/>
          <w:color w:val="auto"/>
          <w:sz w:val="24"/>
          <w:szCs w:val="24"/>
        </w:rPr>
      </w:pPr>
    </w:p>
    <w:p w14:paraId="7AAE7EA0">
      <w:pPr>
        <w:pStyle w:val="7"/>
        <w:ind w:firstLine="964" w:firstLineChars="400"/>
        <w:rPr>
          <w:rFonts w:hint="eastAsia" w:ascii="宋体" w:hAnsi="宋体" w:cs="宋体"/>
          <w:b/>
          <w:bCs/>
          <w:color w:val="auto"/>
          <w:sz w:val="24"/>
          <w:szCs w:val="24"/>
        </w:rPr>
      </w:pPr>
    </w:p>
    <w:p w14:paraId="3CD38CF3">
      <w:pPr>
        <w:pStyle w:val="7"/>
        <w:ind w:firstLine="964" w:firstLineChars="400"/>
        <w:rPr>
          <w:rFonts w:hint="eastAsia" w:ascii="宋体" w:hAnsi="宋体" w:cs="宋体"/>
          <w:b/>
          <w:bCs/>
          <w:color w:val="auto"/>
          <w:sz w:val="24"/>
          <w:szCs w:val="24"/>
        </w:rPr>
      </w:pPr>
    </w:p>
    <w:p w14:paraId="791E3BC7">
      <w:pPr>
        <w:pStyle w:val="7"/>
        <w:ind w:firstLine="964" w:firstLineChars="400"/>
        <w:rPr>
          <w:rFonts w:hint="eastAsia" w:ascii="宋体" w:hAnsi="宋体" w:cs="宋体"/>
          <w:b/>
          <w:bCs/>
          <w:color w:val="auto"/>
          <w:sz w:val="24"/>
          <w:szCs w:val="24"/>
        </w:rPr>
      </w:pPr>
    </w:p>
    <w:p w14:paraId="7BAE2D5C">
      <w:pPr>
        <w:pStyle w:val="7"/>
        <w:ind w:firstLine="964" w:firstLineChars="400"/>
        <w:rPr>
          <w:rFonts w:hint="eastAsia" w:ascii="宋体" w:hAnsi="宋体" w:cs="宋体"/>
          <w:b/>
          <w:bCs/>
          <w:color w:val="auto"/>
          <w:sz w:val="24"/>
          <w:szCs w:val="24"/>
        </w:rPr>
      </w:pPr>
    </w:p>
    <w:p w14:paraId="78D8ACC0">
      <w:pPr>
        <w:pStyle w:val="7"/>
        <w:ind w:firstLine="964" w:firstLineChars="400"/>
        <w:rPr>
          <w:rFonts w:hint="eastAsia" w:ascii="宋体" w:hAnsi="宋体" w:cs="宋体"/>
          <w:b/>
          <w:bCs/>
          <w:color w:val="auto"/>
          <w:sz w:val="24"/>
          <w:szCs w:val="24"/>
        </w:rPr>
      </w:pPr>
    </w:p>
    <w:p w14:paraId="522DE36D">
      <w:pPr>
        <w:pStyle w:val="7"/>
        <w:ind w:firstLine="964" w:firstLineChars="400"/>
        <w:rPr>
          <w:rFonts w:hint="eastAsia" w:ascii="宋体" w:hAnsi="宋体" w:cs="宋体"/>
          <w:b/>
          <w:bCs/>
          <w:color w:val="auto"/>
          <w:sz w:val="24"/>
          <w:szCs w:val="24"/>
        </w:rPr>
      </w:pPr>
    </w:p>
    <w:p w14:paraId="74FD962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Arial Unicode MS">
    <w:altName w:val="宋体"/>
    <w:panose1 w:val="020B0604020202020204"/>
    <w:charset w:val="86"/>
    <w:family w:val="modern"/>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0B5D20"/>
    <w:multiLevelType w:val="singleLevel"/>
    <w:tmpl w:val="C70B5D20"/>
    <w:lvl w:ilvl="0" w:tentative="0">
      <w:start w:val="1"/>
      <w:numFmt w:val="decimal"/>
      <w:suff w:val="nothing"/>
      <w:lvlText w:val="%1、"/>
      <w:lvlJc w:val="left"/>
    </w:lvl>
  </w:abstractNum>
  <w:abstractNum w:abstractNumId="1">
    <w:nsid w:val="00000004"/>
    <w:multiLevelType w:val="singleLevel"/>
    <w:tmpl w:val="00000004"/>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zYWE5MzU3OTZkNGMxYzAxOWE2NTE3NDU0Mjg4MmUifQ=="/>
  </w:docVars>
  <w:rsids>
    <w:rsidRoot w:val="1AC67F19"/>
    <w:rsid w:val="0B1D2390"/>
    <w:rsid w:val="0BDE6F3F"/>
    <w:rsid w:val="10790FE5"/>
    <w:rsid w:val="1949741C"/>
    <w:rsid w:val="1AC67F19"/>
    <w:rsid w:val="1E5D3CF4"/>
    <w:rsid w:val="1F332CA6"/>
    <w:rsid w:val="20452C91"/>
    <w:rsid w:val="23CD5478"/>
    <w:rsid w:val="2AFB4FC0"/>
    <w:rsid w:val="31B646F4"/>
    <w:rsid w:val="34F565DC"/>
    <w:rsid w:val="372907BF"/>
    <w:rsid w:val="388622E8"/>
    <w:rsid w:val="426F040E"/>
    <w:rsid w:val="43CC0E50"/>
    <w:rsid w:val="4C516860"/>
    <w:rsid w:val="4F9F1B0F"/>
    <w:rsid w:val="4FCE7CFE"/>
    <w:rsid w:val="593714C1"/>
    <w:rsid w:val="5AF076C2"/>
    <w:rsid w:val="5BE54949"/>
    <w:rsid w:val="5D810890"/>
    <w:rsid w:val="614D4978"/>
    <w:rsid w:val="62467BC8"/>
    <w:rsid w:val="64722EF6"/>
    <w:rsid w:val="660B40E1"/>
    <w:rsid w:val="7055204A"/>
    <w:rsid w:val="75006EBC"/>
    <w:rsid w:val="76695A78"/>
    <w:rsid w:val="76795265"/>
    <w:rsid w:val="77584869"/>
    <w:rsid w:val="7B22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1"/>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3"/>
    <w:basedOn w:val="1"/>
    <w:next w:val="1"/>
    <w:qFormat/>
    <w:uiPriority w:val="0"/>
    <w:pPr>
      <w:keepNext/>
      <w:keepLines/>
      <w:spacing w:before="260" w:after="260" w:line="413" w:lineRule="auto"/>
      <w:outlineLvl w:val="2"/>
    </w:pPr>
    <w:rPr>
      <w:b/>
      <w:bCs/>
      <w:sz w:val="32"/>
      <w:szCs w:val="32"/>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annotation text"/>
    <w:basedOn w:val="1"/>
    <w:qFormat/>
    <w:uiPriority w:val="0"/>
    <w:rPr>
      <w:rFonts w:ascii="Times New Roman" w:hAnsi="Times New Roman" w:eastAsia="宋体" w:cs="Times New Roman"/>
    </w:rPr>
  </w:style>
  <w:style w:type="paragraph" w:styleId="6">
    <w:name w:val="Body Text"/>
    <w:basedOn w:val="1"/>
    <w:next w:val="1"/>
    <w:qFormat/>
    <w:uiPriority w:val="0"/>
    <w:pPr>
      <w:jc w:val="center"/>
    </w:pPr>
    <w:rPr>
      <w:rFonts w:eastAsia="仿宋_GB2312"/>
      <w:sz w:val="28"/>
      <w:szCs w:val="24"/>
    </w:rPr>
  </w:style>
  <w:style w:type="paragraph" w:styleId="7">
    <w:name w:val="Body Text Indent 3"/>
    <w:basedOn w:val="1"/>
    <w:qFormat/>
    <w:uiPriority w:val="0"/>
    <w:pPr>
      <w:spacing w:after="120"/>
      <w:ind w:left="420" w:leftChars="200"/>
    </w:pPr>
    <w:rPr>
      <w:sz w:val="16"/>
      <w:szCs w:val="16"/>
    </w:rPr>
  </w:style>
  <w:style w:type="character" w:styleId="10">
    <w:name w:val="annotation reference"/>
    <w:qFormat/>
    <w:uiPriority w:val="0"/>
    <w:rPr>
      <w:sz w:val="21"/>
      <w:szCs w:val="21"/>
    </w:rPr>
  </w:style>
  <w:style w:type="paragraph" w:customStyle="1" w:styleId="11">
    <w:name w:val="_Style 3"/>
    <w:basedOn w:val="1"/>
    <w:next w:val="7"/>
    <w:qFormat/>
    <w:uiPriority w:val="0"/>
    <w:pPr>
      <w:autoSpaceDE w:val="0"/>
      <w:autoSpaceDN w:val="0"/>
      <w:adjustRightInd w:val="0"/>
      <w:spacing w:line="480" w:lineRule="exact"/>
      <w:ind w:firstLine="560"/>
      <w:jc w:val="left"/>
    </w:pPr>
    <w:rPr>
      <w:rFonts w:ascii="宋体" w:hAnsi="宋体"/>
      <w:color w:val="000000"/>
      <w:kern w:val="0"/>
      <w:sz w:val="28"/>
      <w:szCs w:val="20"/>
    </w:rPr>
  </w:style>
  <w:style w:type="paragraph" w:customStyle="1" w:styleId="12">
    <w:name w:val="正文缩进1"/>
    <w:basedOn w:val="1"/>
    <w:qFormat/>
    <w:uiPriority w:val="0"/>
    <w:pPr>
      <w:spacing w:line="300" w:lineRule="auto"/>
      <w:ind w:firstLine="420"/>
    </w:pPr>
    <w:rPr>
      <w:rFonts w:ascii="Calibri" w:hAnsi="Calibri" w:eastAsia="宋体" w:cs="Times New Roman"/>
      <w:snapToGrid w:val="0"/>
      <w:sz w:val="24"/>
      <w:szCs w:val="22"/>
      <w:lang w:eastAsia="en-US"/>
    </w:rPr>
  </w:style>
  <w:style w:type="character" w:customStyle="1" w:styleId="13">
    <w:name w:val="apple-style-span"/>
    <w:qFormat/>
    <w:uiPriority w:val="0"/>
    <w:rPr>
      <w:rFonts w:ascii="Times New Roman" w:hAnsi="Times New Roman" w:eastAsia="宋体" w:cs="Times New Roman"/>
    </w:rPr>
  </w:style>
  <w:style w:type="paragraph" w:customStyle="1" w:styleId="14">
    <w:name w:val="列出段落1"/>
    <w:basedOn w:val="1"/>
    <w:qFormat/>
    <w:uiPriority w:val="0"/>
    <w:pPr>
      <w:ind w:firstLine="420" w:firstLineChars="200"/>
    </w:pPr>
    <w:rPr>
      <w:rFonts w:ascii="Calibri" w:hAnsi="Calibri"/>
      <w:szCs w:val="22"/>
    </w:rPr>
  </w:style>
  <w:style w:type="paragraph" w:customStyle="1" w:styleId="15">
    <w:name w:val="xl43"/>
    <w:basedOn w:val="1"/>
    <w:qFormat/>
    <w:uiPriority w:val="0"/>
    <w:pPr>
      <w:widowControl/>
      <w:pBdr>
        <w:bottom w:val="single" w:color="auto" w:sz="4" w:space="0"/>
      </w:pBdr>
      <w:spacing w:before="100" w:beforeAutospacing="1" w:after="100" w:afterAutospacing="1"/>
      <w:jc w:val="center"/>
    </w:pPr>
    <w:rPr>
      <w:rFonts w:ascii="仿宋_GB2312" w:hAnsi="Arial Unicode MS" w:eastAsia="仿宋_GB2312"/>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2085</Words>
  <Characters>2259</Characters>
  <Lines>0</Lines>
  <Paragraphs>0</Paragraphs>
  <TotalTime>0</TotalTime>
  <ScaleCrop>false</ScaleCrop>
  <LinksUpToDate>false</LinksUpToDate>
  <CharactersWithSpaces>2311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2023-05-23T03:08:00Z</dcterms:created>
  <dc:creator>陈永辉</dc:creator>
  <cp:lastModifiedBy>陈永辉</cp:lastModifiedBy>
  <dcterms:modified xsi:type="dcterms:W3CDTF">2024-09-02T00:51:59Z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4FB4E09472D2435F9EB7AF5169F3B31C_11</vt:lpwstr>
  </property>
</Properties>
</file>