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8"/>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550A3760">
      <w:pPr>
        <w:pStyle w:val="8"/>
        <w:ind w:firstLine="1368"/>
        <w:jc w:val="right"/>
        <w:rPr>
          <w:rFonts w:hint="eastAsia" w:ascii="Times New Roman" w:hAnsi="Times New Roman"/>
          <w:b/>
          <w:color w:val="auto"/>
          <w:sz w:val="44"/>
          <w:szCs w:val="44"/>
        </w:rPr>
      </w:pPr>
    </w:p>
    <w:p w14:paraId="5CCE475D">
      <w:pPr>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sz w:val="44"/>
          <w:szCs w:val="44"/>
        </w:rPr>
        <w:t>湛江市第一中医医院医疗设备</w:t>
      </w:r>
      <w:r>
        <w:rPr>
          <w:rFonts w:hint="eastAsia" w:asciiTheme="minorEastAsia" w:hAnsiTheme="minorEastAsia" w:eastAsiaTheme="minorEastAsia" w:cstheme="minorEastAsia"/>
          <w:b/>
          <w:bCs/>
          <w:sz w:val="44"/>
          <w:szCs w:val="44"/>
          <w:lang w:val="en-US" w:eastAsia="zh-CN"/>
        </w:rPr>
        <w:t xml:space="preserve">询价采购  </w:t>
      </w:r>
      <w:r>
        <w:rPr>
          <w:rFonts w:hint="eastAsia" w:asciiTheme="minorEastAsia" w:hAnsiTheme="minorEastAsia" w:eastAsiaTheme="minorEastAsia" w:cstheme="minorEastAsia"/>
          <w:b/>
          <w:bCs/>
          <w:color w:val="auto"/>
          <w:sz w:val="44"/>
          <w:szCs w:val="44"/>
        </w:rPr>
        <w:t>（编号：</w:t>
      </w:r>
      <w:r>
        <w:rPr>
          <w:rFonts w:hint="eastAsia" w:asciiTheme="minorEastAsia" w:hAnsiTheme="minorEastAsia" w:eastAsiaTheme="minorEastAsia" w:cstheme="minorEastAsia"/>
          <w:b/>
          <w:bCs/>
          <w:sz w:val="44"/>
          <w:szCs w:val="44"/>
          <w:lang w:val="en-US" w:eastAsia="zh-CN"/>
        </w:rPr>
        <w:t>2026ZYH022</w:t>
      </w:r>
      <w:r>
        <w:rPr>
          <w:rFonts w:hint="eastAsia" w:asciiTheme="minorEastAsia" w:hAnsiTheme="minorEastAsia" w:eastAsiaTheme="minorEastAsia" w:cstheme="minorEastAsia"/>
          <w:b/>
          <w:bCs/>
          <w:color w:val="auto"/>
          <w:sz w:val="44"/>
          <w:szCs w:val="44"/>
        </w:rPr>
        <w:t xml:space="preserve">） </w:t>
      </w:r>
    </w:p>
    <w:p w14:paraId="435B22FB">
      <w:pPr>
        <w:pStyle w:val="8"/>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响应文件</w:t>
      </w:r>
    </w:p>
    <w:p w14:paraId="1D19FFAA">
      <w:pPr>
        <w:pStyle w:val="8"/>
        <w:jc w:val="center"/>
        <w:rPr>
          <w:rFonts w:hint="default" w:hAnsi="宋体" w:cs="宋体"/>
          <w:b/>
          <w:bCs/>
          <w:sz w:val="72"/>
          <w:szCs w:val="72"/>
          <w:lang w:val="en-US" w:eastAsia="zh-CN"/>
        </w:rPr>
      </w:pPr>
    </w:p>
    <w:p w14:paraId="511B6AD2">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8"/>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8"/>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12"/>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w:t>
      </w:r>
      <w:r>
        <w:rPr>
          <w:rFonts w:hint="eastAsia" w:ascii="黑体" w:hAnsi="黑体" w:eastAsia="黑体" w:cs="Times New Roman"/>
          <w:b/>
          <w:bCs/>
          <w:sz w:val="28"/>
          <w:szCs w:val="48"/>
          <w:lang w:val="en-US" w:eastAsia="zh-CN"/>
        </w:rPr>
        <w:t>设备信息表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12"/>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7</w:t>
      </w:r>
      <w:r>
        <w:rPr>
          <w:rFonts w:hint="eastAsia" w:ascii="黑体" w:hAnsi="黑体" w:eastAsia="黑体"/>
          <w:b/>
          <w:bCs/>
          <w:sz w:val="28"/>
          <w:szCs w:val="44"/>
          <w:lang w:val="zh-CN" w:eastAsia="zh-CN"/>
        </w:rPr>
        <w:fldChar w:fldCharType="end"/>
      </w:r>
    </w:p>
    <w:p w14:paraId="779C1F49">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b/>
          <w:bCs/>
          <w:sz w:val="28"/>
          <w:szCs w:val="32"/>
        </w:rPr>
        <w:fldChar w:fldCharType="begin"/>
      </w:r>
      <w:r>
        <w:rPr>
          <w:b/>
          <w:bCs/>
          <w:sz w:val="28"/>
          <w:szCs w:val="32"/>
        </w:rPr>
        <w:instrText xml:space="preserve"> PAGEREF _Toc24410 \h </w:instrText>
      </w:r>
      <w:r>
        <w:rPr>
          <w:b/>
          <w:bCs/>
          <w:sz w:val="28"/>
          <w:szCs w:val="32"/>
        </w:rPr>
        <w:fldChar w:fldCharType="separate"/>
      </w:r>
      <w:r>
        <w:rPr>
          <w:b/>
          <w:bCs/>
          <w:sz w:val="28"/>
          <w:szCs w:val="32"/>
        </w:rPr>
        <w:t>8</w:t>
      </w:r>
      <w:r>
        <w:rPr>
          <w:b/>
          <w:bCs/>
          <w:sz w:val="28"/>
          <w:szCs w:val="32"/>
        </w:rPr>
        <w:fldChar w:fldCharType="end"/>
      </w:r>
      <w:r>
        <w:rPr>
          <w:rFonts w:hint="eastAsia" w:ascii="黑体" w:hAnsi="黑体" w:eastAsia="黑体"/>
          <w:b/>
          <w:bCs/>
          <w:sz w:val="28"/>
          <w:szCs w:val="44"/>
          <w:lang w:val="zh-CN" w:eastAsia="zh-CN"/>
        </w:rPr>
        <w:fldChar w:fldCharType="end"/>
      </w:r>
    </w:p>
    <w:p w14:paraId="193AC044">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b/>
          <w:bCs/>
          <w:sz w:val="28"/>
          <w:szCs w:val="32"/>
        </w:rPr>
        <w:fldChar w:fldCharType="begin"/>
      </w:r>
      <w:r>
        <w:rPr>
          <w:b/>
          <w:bCs/>
          <w:sz w:val="28"/>
          <w:szCs w:val="32"/>
        </w:rPr>
        <w:instrText xml:space="preserve"> PAGEREF _Toc12813 \h </w:instrText>
      </w:r>
      <w:r>
        <w:rPr>
          <w:b/>
          <w:bCs/>
          <w:sz w:val="28"/>
          <w:szCs w:val="32"/>
        </w:rPr>
        <w:fldChar w:fldCharType="separate"/>
      </w:r>
      <w:r>
        <w:rPr>
          <w:b/>
          <w:bCs/>
          <w:sz w:val="28"/>
          <w:szCs w:val="32"/>
        </w:rPr>
        <w:t>9</w:t>
      </w:r>
      <w:r>
        <w:rPr>
          <w:b/>
          <w:bCs/>
          <w:sz w:val="28"/>
          <w:szCs w:val="32"/>
        </w:rPr>
        <w:fldChar w:fldCharType="end"/>
      </w:r>
      <w:r>
        <w:rPr>
          <w:rFonts w:hint="eastAsia" w:ascii="黑体" w:hAnsi="黑体" w:eastAsia="黑体"/>
          <w:b/>
          <w:bCs/>
          <w:sz w:val="28"/>
          <w:szCs w:val="44"/>
          <w:lang w:val="zh-CN" w:eastAsia="zh-CN"/>
        </w:rPr>
        <w:fldChar w:fldCharType="end"/>
      </w:r>
    </w:p>
    <w:p w14:paraId="2BBB3ABD">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b/>
          <w:bCs/>
          <w:sz w:val="28"/>
          <w:szCs w:val="32"/>
        </w:rPr>
        <w:fldChar w:fldCharType="begin"/>
      </w:r>
      <w:r>
        <w:rPr>
          <w:b/>
          <w:bCs/>
          <w:sz w:val="28"/>
          <w:szCs w:val="32"/>
        </w:rPr>
        <w:instrText xml:space="preserve"> PAGEREF _Toc6619 \h </w:instrText>
      </w:r>
      <w:r>
        <w:rPr>
          <w:b/>
          <w:bCs/>
          <w:sz w:val="28"/>
          <w:szCs w:val="32"/>
        </w:rPr>
        <w:fldChar w:fldCharType="separate"/>
      </w:r>
      <w:r>
        <w:rPr>
          <w:b/>
          <w:bCs/>
          <w:sz w:val="28"/>
          <w:szCs w:val="32"/>
        </w:rPr>
        <w:t>10</w:t>
      </w:r>
      <w:r>
        <w:rPr>
          <w:b/>
          <w:bCs/>
          <w:sz w:val="28"/>
          <w:szCs w:val="32"/>
        </w:rPr>
        <w:fldChar w:fldCharType="end"/>
      </w:r>
      <w:r>
        <w:rPr>
          <w:rFonts w:hint="eastAsia" w:ascii="黑体" w:hAnsi="黑体" w:eastAsia="黑体"/>
          <w:b/>
          <w:bCs/>
          <w:sz w:val="28"/>
          <w:szCs w:val="44"/>
          <w:lang w:val="zh-CN" w:eastAsia="zh-CN"/>
        </w:rPr>
        <w:fldChar w:fldCharType="end"/>
      </w:r>
    </w:p>
    <w:p w14:paraId="4A86FD22">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b/>
          <w:bCs/>
          <w:sz w:val="28"/>
          <w:szCs w:val="32"/>
        </w:rPr>
        <w:fldChar w:fldCharType="begin"/>
      </w:r>
      <w:r>
        <w:rPr>
          <w:b/>
          <w:bCs/>
          <w:sz w:val="28"/>
          <w:szCs w:val="32"/>
        </w:rPr>
        <w:instrText xml:space="preserve"> PAGEREF _Toc32737 \h </w:instrText>
      </w:r>
      <w:r>
        <w:rPr>
          <w:b/>
          <w:bCs/>
          <w:sz w:val="28"/>
          <w:szCs w:val="32"/>
        </w:rPr>
        <w:fldChar w:fldCharType="separate"/>
      </w:r>
      <w:r>
        <w:rPr>
          <w:b/>
          <w:bCs/>
          <w:sz w:val="28"/>
          <w:szCs w:val="32"/>
        </w:rPr>
        <w:t>11</w:t>
      </w:r>
      <w:r>
        <w:rPr>
          <w:b/>
          <w:bCs/>
          <w:sz w:val="28"/>
          <w:szCs w:val="32"/>
        </w:rPr>
        <w:fldChar w:fldCharType="end"/>
      </w:r>
      <w:r>
        <w:rPr>
          <w:rFonts w:hint="eastAsia" w:ascii="黑体" w:hAnsi="黑体" w:eastAsia="黑体"/>
          <w:b/>
          <w:bCs/>
          <w:sz w:val="28"/>
          <w:szCs w:val="44"/>
          <w:lang w:val="zh-CN" w:eastAsia="zh-CN"/>
        </w:rPr>
        <w:fldChar w:fldCharType="end"/>
      </w:r>
    </w:p>
    <w:p w14:paraId="1BB873E0">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b/>
          <w:bCs/>
          <w:sz w:val="28"/>
          <w:szCs w:val="32"/>
        </w:rPr>
        <w:fldChar w:fldCharType="begin"/>
      </w:r>
      <w:r>
        <w:rPr>
          <w:b/>
          <w:bCs/>
          <w:sz w:val="28"/>
          <w:szCs w:val="32"/>
        </w:rPr>
        <w:instrText xml:space="preserve"> PAGEREF _Toc1025 \h </w:instrText>
      </w:r>
      <w:r>
        <w:rPr>
          <w:b/>
          <w:bCs/>
          <w:sz w:val="28"/>
          <w:szCs w:val="32"/>
        </w:rPr>
        <w:fldChar w:fldCharType="separate"/>
      </w:r>
      <w:r>
        <w:rPr>
          <w:b/>
          <w:bCs/>
          <w:sz w:val="28"/>
          <w:szCs w:val="32"/>
        </w:rPr>
        <w:t>12</w:t>
      </w:r>
      <w:r>
        <w:rPr>
          <w:b/>
          <w:bCs/>
          <w:sz w:val="28"/>
          <w:szCs w:val="32"/>
        </w:rPr>
        <w:fldChar w:fldCharType="end"/>
      </w:r>
      <w:r>
        <w:rPr>
          <w:rFonts w:hint="eastAsia" w:ascii="黑体" w:hAnsi="黑体" w:eastAsia="黑体"/>
          <w:b/>
          <w:bCs/>
          <w:sz w:val="28"/>
          <w:szCs w:val="44"/>
          <w:lang w:val="zh-CN" w:eastAsia="zh-CN"/>
        </w:rPr>
        <w:fldChar w:fldCharType="end"/>
      </w:r>
    </w:p>
    <w:p w14:paraId="2F660E5B">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13</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14</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12"/>
        <w:tabs>
          <w:tab w:val="right" w:leader="dot" w:pos="8306"/>
        </w:tabs>
      </w:pPr>
    </w:p>
    <w:p w14:paraId="1DDB5D70">
      <w:pPr>
        <w:pStyle w:val="12"/>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8"/>
          <w:rFonts w:hint="eastAsia" w:ascii="黑体" w:hAnsi="黑体" w:eastAsia="黑体" w:cs="黑体"/>
          <w:color w:val="auto"/>
          <w:sz w:val="32"/>
          <w:szCs w:val="32"/>
          <w:u w:val="none"/>
        </w:rPr>
      </w:pPr>
    </w:p>
    <w:p w14:paraId="5136799E">
      <w:pPr>
        <w:jc w:val="left"/>
        <w:outlineLvl w:val="0"/>
        <w:rPr>
          <w:rStyle w:val="18"/>
          <w:rFonts w:hint="eastAsia" w:ascii="黑体" w:hAnsi="黑体" w:eastAsia="黑体" w:cs="黑体"/>
          <w:color w:val="auto"/>
          <w:sz w:val="32"/>
          <w:szCs w:val="32"/>
          <w:u w:val="none"/>
        </w:rPr>
      </w:pPr>
    </w:p>
    <w:p w14:paraId="39B050A8">
      <w:pPr>
        <w:jc w:val="left"/>
        <w:outlineLvl w:val="0"/>
        <w:rPr>
          <w:rStyle w:val="18"/>
          <w:rFonts w:hint="eastAsia" w:ascii="黑体" w:hAnsi="黑体" w:eastAsia="黑体" w:cs="黑体"/>
          <w:color w:val="auto"/>
          <w:sz w:val="32"/>
          <w:szCs w:val="32"/>
          <w:u w:val="none"/>
        </w:rPr>
      </w:pPr>
    </w:p>
    <w:p w14:paraId="7757C85A">
      <w:pPr>
        <w:jc w:val="left"/>
        <w:outlineLvl w:val="0"/>
        <w:rPr>
          <w:rStyle w:val="18"/>
          <w:rFonts w:hint="eastAsia" w:ascii="黑体" w:hAnsi="黑体" w:eastAsia="黑体" w:cs="黑体"/>
          <w:color w:val="auto"/>
          <w:sz w:val="32"/>
          <w:szCs w:val="32"/>
          <w:u w:val="none"/>
        </w:rPr>
      </w:pPr>
    </w:p>
    <w:p w14:paraId="74B427CC">
      <w:pPr>
        <w:jc w:val="left"/>
        <w:outlineLvl w:val="0"/>
        <w:rPr>
          <w:rStyle w:val="18"/>
          <w:rFonts w:hint="eastAsia" w:ascii="黑体" w:hAnsi="黑体" w:eastAsia="黑体" w:cs="黑体"/>
          <w:color w:val="auto"/>
          <w:sz w:val="32"/>
          <w:szCs w:val="32"/>
          <w:u w:val="none"/>
        </w:rPr>
      </w:pPr>
    </w:p>
    <w:p w14:paraId="3A358FCE">
      <w:pPr>
        <w:jc w:val="left"/>
        <w:outlineLvl w:val="0"/>
        <w:rPr>
          <w:rStyle w:val="18"/>
          <w:rFonts w:hint="eastAsia" w:ascii="黑体" w:hAnsi="黑体" w:eastAsia="黑体" w:cs="黑体"/>
          <w:color w:val="auto"/>
          <w:sz w:val="32"/>
          <w:szCs w:val="32"/>
          <w:u w:val="none"/>
        </w:rPr>
      </w:pPr>
    </w:p>
    <w:p w14:paraId="13E9A3AC">
      <w:pPr>
        <w:jc w:val="left"/>
        <w:outlineLvl w:val="0"/>
        <w:rPr>
          <w:rStyle w:val="18"/>
          <w:rFonts w:hint="eastAsia" w:ascii="黑体" w:hAnsi="黑体" w:eastAsia="黑体" w:cs="黑体"/>
          <w:color w:val="auto"/>
          <w:sz w:val="32"/>
          <w:szCs w:val="32"/>
          <w:u w:val="none"/>
        </w:rPr>
      </w:pPr>
    </w:p>
    <w:p w14:paraId="39BE05FA">
      <w:pPr>
        <w:jc w:val="left"/>
        <w:outlineLvl w:val="0"/>
        <w:rPr>
          <w:rStyle w:val="18"/>
          <w:rFonts w:hint="eastAsia" w:ascii="黑体" w:hAnsi="黑体" w:eastAsia="黑体" w:cs="黑体"/>
          <w:color w:val="auto"/>
          <w:sz w:val="32"/>
          <w:szCs w:val="32"/>
          <w:u w:val="none"/>
        </w:rPr>
      </w:pPr>
    </w:p>
    <w:p w14:paraId="512EB5AC">
      <w:pPr>
        <w:jc w:val="left"/>
        <w:outlineLvl w:val="0"/>
        <w:rPr>
          <w:rStyle w:val="18"/>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w:t>
      </w:r>
      <w:bookmarkEnd w:id="0"/>
      <w:bookmarkEnd w:id="1"/>
      <w:bookmarkStart w:id="2" w:name="_Toc18588"/>
      <w:r>
        <w:rPr>
          <w:rFonts w:hint="eastAsia" w:ascii="黑体" w:hAnsi="黑体" w:eastAsia="黑体"/>
          <w:b/>
          <w:sz w:val="36"/>
          <w:szCs w:val="36"/>
          <w:lang w:val="en-US" w:eastAsia="zh-CN"/>
        </w:rPr>
        <w:t>设备信息表</w:t>
      </w:r>
    </w:p>
    <w:p w14:paraId="4C20F6E9">
      <w:pPr>
        <w:jc w:val="center"/>
        <w:rPr>
          <w:rFonts w:hint="eastAsia" w:ascii="黑体" w:hAnsi="黑体" w:eastAsia="黑体"/>
          <w:b/>
          <w:sz w:val="36"/>
          <w:szCs w:val="36"/>
          <w:lang w:val="en-US" w:eastAsia="zh-CN"/>
        </w:rPr>
      </w:pPr>
      <w:bookmarkStart w:id="3" w:name="_Toc98945845"/>
      <w:bookmarkStart w:id="4" w:name="_Toc98945512"/>
      <w:r>
        <w:rPr>
          <w:rFonts w:hint="eastAsia" w:ascii="黑体" w:hAnsi="黑体" w:eastAsia="黑体"/>
          <w:b/>
          <w:sz w:val="36"/>
          <w:szCs w:val="36"/>
          <w:lang w:val="en-US" w:eastAsia="zh-CN"/>
        </w:rPr>
        <w:t>设备信息表</w:t>
      </w:r>
    </w:p>
    <w:tbl>
      <w:tblPr>
        <w:tblStyle w:val="14"/>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6E80CEBA">
            <w:pPr>
              <w:ind w:left="-62"/>
              <w:jc w:val="center"/>
              <w:rPr>
                <w:rFonts w:hint="eastAsia" w:ascii="宋体" w:hAnsi="宋体" w:cs="Times New Roman"/>
                <w:b/>
                <w:szCs w:val="21"/>
              </w:rPr>
            </w:pPr>
            <w:r>
              <w:rPr>
                <w:rFonts w:hint="eastAsia" w:ascii="宋体" w:hAnsi="宋体" w:cs="Times New Roman"/>
                <w:b/>
                <w:szCs w:val="21"/>
              </w:rPr>
              <w:t>湛江市第一中医医院医疗设备</w:t>
            </w:r>
            <w:r>
              <w:rPr>
                <w:rFonts w:hint="eastAsia" w:ascii="宋体" w:hAnsi="宋体" w:cs="Times New Roman"/>
                <w:b/>
                <w:szCs w:val="21"/>
                <w:lang w:val="en-US" w:eastAsia="zh-CN"/>
              </w:rPr>
              <w:t>询价采购</w:t>
            </w:r>
            <w:r>
              <w:rPr>
                <w:rFonts w:hint="eastAsia" w:ascii="宋体" w:hAnsi="宋体" w:cs="Times New Roman"/>
                <w:b/>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5CFC7000">
      <w:pPr>
        <w:spacing w:line="360" w:lineRule="auto"/>
        <w:jc w:val="center"/>
        <w:outlineLvl w:val="0"/>
        <w:rPr>
          <w:rFonts w:hint="eastAsia" w:ascii="宋体" w:hAnsi="宋体" w:cs="宋体"/>
          <w:b/>
          <w:bCs/>
          <w:sz w:val="28"/>
          <w:szCs w:val="28"/>
        </w:rPr>
      </w:pPr>
      <w:bookmarkStart w:id="6" w:name="_Toc98945516"/>
      <w:bookmarkStart w:id="7" w:name="_Toc98945849"/>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D48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E6A83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6F2A3D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仿宋_GB2312" w:hAnsi="仿宋_GB2312" w:eastAsia="仿宋_GB2312" w:cs="仿宋_GB2312"/>
                <w:b/>
                <w:bCs/>
                <w:color w:val="auto"/>
                <w:sz w:val="24"/>
                <w:szCs w:val="24"/>
                <w:lang w:val="en-US" w:eastAsia="zh-CN"/>
              </w:rPr>
              <w:t>床边支气管镜</w:t>
            </w:r>
          </w:p>
        </w:tc>
      </w:tr>
      <w:tr w14:paraId="12FB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E24D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9A13B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64A96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7042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933E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421D7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主机系统</w:t>
            </w:r>
          </w:p>
          <w:p w14:paraId="7A8A14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385B72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831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1C24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75BD4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便携式：主机设备提手或便携式设计；</w:t>
            </w:r>
          </w:p>
          <w:p w14:paraId="035A1D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213780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373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66D5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6EA77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cs="宋体"/>
                <w:color w:val="auto"/>
                <w:kern w:val="2"/>
                <w:sz w:val="21"/>
                <w:szCs w:val="21"/>
                <w:lang w:val="en-US" w:eastAsia="zh-CN" w:bidi="ar-SA"/>
              </w:rPr>
              <w:t>显示屏：分辨率高，支持日光下清晰可视</w:t>
            </w:r>
          </w:p>
        </w:tc>
        <w:tc>
          <w:tcPr>
            <w:tcW w:w="3307" w:type="dxa"/>
            <w:tcBorders>
              <w:top w:val="single" w:color="auto" w:sz="4" w:space="0"/>
              <w:left w:val="single" w:color="auto" w:sz="4" w:space="0"/>
              <w:right w:val="single" w:color="auto" w:sz="4" w:space="0"/>
            </w:tcBorders>
            <w:shd w:val="clear" w:color="auto" w:fill="auto"/>
            <w:noWrap w:val="0"/>
            <w:vAlign w:val="top"/>
          </w:tcPr>
          <w:p w14:paraId="7F80E3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DD1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B19D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E5ED5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cs="宋体"/>
                <w:color w:val="auto"/>
                <w:kern w:val="2"/>
                <w:sz w:val="21"/>
                <w:szCs w:val="21"/>
                <w:lang w:val="en-US" w:eastAsia="zh-CN" w:bidi="ar-SA"/>
              </w:rPr>
              <w:t>电源管理：内置可充电锂电池，单次续航&gt;2小时</w:t>
            </w:r>
          </w:p>
        </w:tc>
        <w:tc>
          <w:tcPr>
            <w:tcW w:w="3307" w:type="dxa"/>
            <w:tcBorders>
              <w:top w:val="single" w:color="auto" w:sz="4" w:space="0"/>
              <w:left w:val="single" w:color="auto" w:sz="4" w:space="0"/>
              <w:right w:val="single" w:color="auto" w:sz="4" w:space="0"/>
            </w:tcBorders>
            <w:shd w:val="clear" w:color="auto" w:fill="auto"/>
            <w:noWrap w:val="0"/>
            <w:vAlign w:val="top"/>
          </w:tcPr>
          <w:p w14:paraId="324B512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070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A76E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A175E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镜体</w:t>
            </w:r>
          </w:p>
          <w:p w14:paraId="321F72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423545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6D8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7800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0CE7C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r>
              <w:rPr>
                <w:rFonts w:hint="eastAsia" w:ascii="宋体" w:hAnsi="宋体" w:cs="宋体"/>
                <w:color w:val="auto"/>
                <w:kern w:val="2"/>
                <w:sz w:val="21"/>
                <w:szCs w:val="21"/>
                <w:lang w:val="en-US" w:eastAsia="zh-CN" w:bidi="ar-SA"/>
              </w:rPr>
              <w:t>外径：≤4.9mm，（适用于经鼻或经口气管插管患者通过人工气道</w:t>
            </w:r>
          </w:p>
        </w:tc>
        <w:tc>
          <w:tcPr>
            <w:tcW w:w="3307" w:type="dxa"/>
            <w:tcBorders>
              <w:top w:val="single" w:color="auto" w:sz="4" w:space="0"/>
              <w:left w:val="single" w:color="auto" w:sz="4" w:space="0"/>
              <w:right w:val="single" w:color="auto" w:sz="4" w:space="0"/>
            </w:tcBorders>
            <w:shd w:val="clear" w:color="auto" w:fill="auto"/>
            <w:noWrap w:val="0"/>
            <w:vAlign w:val="top"/>
          </w:tcPr>
          <w:p w14:paraId="315FA77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0FB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E068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20B3D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内径：3.0mm，可兼容常规活检钳、细胞刷、灌洗管、异物钳等</w:t>
            </w:r>
          </w:p>
          <w:p w14:paraId="3A7DDC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p>
        </w:tc>
        <w:tc>
          <w:tcPr>
            <w:tcW w:w="3307" w:type="dxa"/>
            <w:tcBorders>
              <w:top w:val="single" w:color="auto" w:sz="4" w:space="0"/>
              <w:left w:val="single" w:color="auto" w:sz="4" w:space="0"/>
              <w:right w:val="single" w:color="auto" w:sz="4" w:space="0"/>
            </w:tcBorders>
            <w:shd w:val="clear" w:color="auto" w:fill="auto"/>
            <w:noWrap w:val="0"/>
            <w:vAlign w:val="top"/>
          </w:tcPr>
          <w:p w14:paraId="685E6F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9FD2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794C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BE58D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color w:val="auto"/>
                <w:kern w:val="2"/>
                <w:sz w:val="21"/>
                <w:szCs w:val="21"/>
                <w:lang w:val="en-US" w:eastAsia="zh-CN" w:bidi="ar-SA"/>
              </w:rPr>
            </w:pPr>
            <w:r>
              <w:rPr>
                <w:rFonts w:hint="default" w:ascii="宋体" w:hAnsi="宋体" w:cs="宋体"/>
                <w:color w:val="auto"/>
                <w:kern w:val="2"/>
                <w:sz w:val="21"/>
                <w:szCs w:val="21"/>
                <w:lang w:val="en-US" w:eastAsia="zh-CN" w:bidi="ar-SA"/>
              </w:rPr>
              <w:t>弯曲角度</w:t>
            </w:r>
            <w:r>
              <w:rPr>
                <w:rFonts w:hint="eastAsia" w:ascii="宋体" w:hAnsi="宋体" w:cs="宋体"/>
                <w:color w:val="auto"/>
                <w:kern w:val="2"/>
                <w:sz w:val="21"/>
                <w:szCs w:val="21"/>
                <w:lang w:val="en-US" w:eastAsia="zh-CN" w:bidi="ar-SA"/>
              </w:rPr>
              <w:t>：</w:t>
            </w:r>
            <w:r>
              <w:rPr>
                <w:rFonts w:hint="default" w:ascii="宋体" w:hAnsi="宋体" w:cs="宋体"/>
                <w:color w:val="auto"/>
                <w:kern w:val="2"/>
                <w:sz w:val="21"/>
                <w:szCs w:val="21"/>
                <w:lang w:val="en-US" w:eastAsia="zh-CN" w:bidi="ar-SA"/>
              </w:rPr>
              <w:t>向上≥180°，向下≥130°，满足各肺叶段（包括上叶、尖段）的充分观察</w:t>
            </w:r>
            <w:r>
              <w:rPr>
                <w:rFonts w:hint="eastAsia" w:ascii="宋体" w:hAnsi="宋体" w:cs="宋体"/>
                <w:color w:val="auto"/>
                <w:kern w:val="2"/>
                <w:sz w:val="21"/>
                <w:szCs w:val="21"/>
                <w:lang w:val="en-US" w:eastAsia="zh-CN" w:bidi="ar-SA"/>
              </w:rPr>
              <w:t>；</w:t>
            </w:r>
          </w:p>
          <w:p w14:paraId="405D01D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p>
        </w:tc>
        <w:tc>
          <w:tcPr>
            <w:tcW w:w="3307" w:type="dxa"/>
            <w:tcBorders>
              <w:top w:val="single" w:color="auto" w:sz="4" w:space="0"/>
              <w:left w:val="single" w:color="auto" w:sz="4" w:space="0"/>
              <w:right w:val="single" w:color="auto" w:sz="4" w:space="0"/>
            </w:tcBorders>
            <w:shd w:val="clear" w:color="auto" w:fill="auto"/>
            <w:noWrap w:val="0"/>
            <w:vAlign w:val="top"/>
          </w:tcPr>
          <w:p w14:paraId="0E5F459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C55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2E13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50FA2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color w:val="auto"/>
                <w:kern w:val="2"/>
                <w:sz w:val="21"/>
                <w:szCs w:val="21"/>
                <w:lang w:val="en-US" w:eastAsia="zh-CN" w:bidi="ar-SA"/>
              </w:rPr>
            </w:pPr>
            <w:r>
              <w:rPr>
                <w:rFonts w:hint="default" w:ascii="宋体" w:hAnsi="宋体" w:cs="宋体"/>
                <w:color w:val="auto"/>
                <w:kern w:val="2"/>
                <w:sz w:val="21"/>
                <w:szCs w:val="21"/>
                <w:lang w:val="en-US" w:eastAsia="zh-CN" w:bidi="ar-SA"/>
              </w:rPr>
              <w:t>工作长度 ≥600mm，满足成人气道各分支的到达需求</w:t>
            </w:r>
          </w:p>
          <w:p w14:paraId="29FD50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p>
        </w:tc>
        <w:tc>
          <w:tcPr>
            <w:tcW w:w="3307" w:type="dxa"/>
            <w:tcBorders>
              <w:top w:val="single" w:color="auto" w:sz="4" w:space="0"/>
              <w:left w:val="single" w:color="auto" w:sz="4" w:space="0"/>
              <w:right w:val="single" w:color="auto" w:sz="4" w:space="0"/>
            </w:tcBorders>
            <w:shd w:val="clear" w:color="auto" w:fill="auto"/>
            <w:noWrap w:val="0"/>
            <w:vAlign w:val="top"/>
          </w:tcPr>
          <w:p w14:paraId="625DAA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BE3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9966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316A8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cs="宋体"/>
                <w:color w:val="auto"/>
                <w:kern w:val="2"/>
                <w:sz w:val="21"/>
                <w:szCs w:val="21"/>
                <w:lang w:val="en-US" w:eastAsia="zh-CN" w:bidi="ar-SA"/>
              </w:rPr>
            </w:pPr>
            <w:r>
              <w:rPr>
                <w:rFonts w:hint="default" w:ascii="宋体" w:hAnsi="宋体" w:cs="宋体"/>
                <w:color w:val="auto"/>
                <w:kern w:val="2"/>
                <w:sz w:val="21"/>
                <w:szCs w:val="21"/>
                <w:lang w:val="en-US" w:eastAsia="zh-CN" w:bidi="ar-SA"/>
              </w:rPr>
              <w:t>防水性能</w:t>
            </w:r>
            <w:r>
              <w:rPr>
                <w:rFonts w:hint="eastAsia" w:ascii="宋体" w:hAnsi="宋体" w:cs="宋体"/>
                <w:color w:val="auto"/>
                <w:kern w:val="2"/>
                <w:sz w:val="21"/>
                <w:szCs w:val="21"/>
                <w:lang w:val="en-US" w:eastAsia="zh-CN" w:bidi="ar-SA"/>
              </w:rPr>
              <w:t>：</w:t>
            </w:r>
            <w:r>
              <w:rPr>
                <w:rFonts w:hint="default" w:ascii="宋体" w:hAnsi="宋体" w:cs="宋体"/>
                <w:color w:val="auto"/>
                <w:kern w:val="2"/>
                <w:sz w:val="21"/>
                <w:szCs w:val="21"/>
                <w:lang w:val="en-US" w:eastAsia="zh-CN" w:bidi="ar-SA"/>
              </w:rPr>
              <w:t xml:space="preserve"> 全镜体，可进行全浸泡洗消，避免因误浸水导致的设备损坏</w:t>
            </w:r>
          </w:p>
          <w:p w14:paraId="61483E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p>
        </w:tc>
        <w:tc>
          <w:tcPr>
            <w:tcW w:w="3307" w:type="dxa"/>
            <w:tcBorders>
              <w:top w:val="single" w:color="auto" w:sz="4" w:space="0"/>
              <w:left w:val="single" w:color="auto" w:sz="4" w:space="0"/>
              <w:right w:val="single" w:color="auto" w:sz="4" w:space="0"/>
            </w:tcBorders>
            <w:shd w:val="clear" w:color="auto" w:fill="auto"/>
            <w:noWrap w:val="0"/>
            <w:vAlign w:val="top"/>
          </w:tcPr>
          <w:p w14:paraId="573EF3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93C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A5B9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A6745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r>
              <w:rPr>
                <w:rFonts w:hint="default" w:ascii="宋体" w:hAnsi="宋体" w:cs="宋体"/>
                <w:color w:val="auto"/>
                <w:kern w:val="2"/>
                <w:sz w:val="21"/>
                <w:szCs w:val="21"/>
                <w:lang w:val="en-US" w:eastAsia="zh-CN" w:bidi="ar-SA"/>
              </w:rPr>
              <w:t>插入管材质</w:t>
            </w:r>
            <w:r>
              <w:rPr>
                <w:rFonts w:hint="eastAsia" w:ascii="宋体" w:hAnsi="宋体" w:cs="宋体"/>
                <w:color w:val="auto"/>
                <w:kern w:val="2"/>
                <w:sz w:val="21"/>
                <w:szCs w:val="21"/>
                <w:lang w:val="en-US" w:eastAsia="zh-CN" w:bidi="ar-SA"/>
              </w:rPr>
              <w:t>：</w:t>
            </w:r>
            <w:r>
              <w:rPr>
                <w:rFonts w:hint="default" w:ascii="宋体" w:hAnsi="宋体" w:cs="宋体"/>
                <w:color w:val="auto"/>
                <w:kern w:val="2"/>
                <w:sz w:val="21"/>
                <w:szCs w:val="21"/>
                <w:lang w:val="en-US" w:eastAsia="zh-CN" w:bidi="ar-SA"/>
              </w:rPr>
              <w:t>采用高耐磨、高柔韧性材料，适应床旁反复操作及不同体位需求</w:t>
            </w:r>
            <w:r>
              <w:rPr>
                <w:rFonts w:hint="eastAsia" w:ascii="宋体" w:hAnsi="宋体" w:cs="宋体"/>
                <w:color w:val="auto"/>
                <w:kern w:val="2"/>
                <w:sz w:val="21"/>
                <w:szCs w:val="21"/>
                <w:lang w:val="en-US" w:eastAsia="zh-CN" w:bidi="ar-SA"/>
              </w:rPr>
              <w:t>。</w:t>
            </w:r>
          </w:p>
        </w:tc>
        <w:tc>
          <w:tcPr>
            <w:tcW w:w="3307" w:type="dxa"/>
            <w:tcBorders>
              <w:top w:val="single" w:color="auto" w:sz="4" w:space="0"/>
              <w:left w:val="single" w:color="auto" w:sz="4" w:space="0"/>
              <w:right w:val="single" w:color="auto" w:sz="4" w:space="0"/>
            </w:tcBorders>
            <w:shd w:val="clear" w:color="auto" w:fill="auto"/>
            <w:noWrap w:val="0"/>
            <w:vAlign w:val="top"/>
          </w:tcPr>
          <w:p w14:paraId="3980F8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E82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05D10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3BE9B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是否需要配套使用耗材 是□ 否 ☑       </w:t>
            </w:r>
          </w:p>
          <w:p w14:paraId="62F4E1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EC01A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76EE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981E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A5E3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B7836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383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CC15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75BC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384E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AD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CEB8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80B6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F8C3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E8D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C9CA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2649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宋体" w:hAnsi="宋体" w:cs="宋体"/>
                <w:color w:val="auto"/>
                <w:sz w:val="21"/>
                <w:szCs w:val="21"/>
                <w:lang w:val="en-US" w:eastAsia="zh-CN"/>
              </w:rPr>
              <w:t>主机1台，支气管镜1条</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FE9DB0">
            <w:pPr>
              <w:ind w:firstLine="440" w:firstLineChars="200"/>
              <w:jc w:val="center"/>
              <w:rPr>
                <w:rFonts w:hint="eastAsia" w:ascii="宋体" w:hAnsi="宋体" w:eastAsia="宋体" w:cs="Times New Roman"/>
                <w:kern w:val="2"/>
                <w:sz w:val="22"/>
                <w:szCs w:val="21"/>
                <w:lang w:val="en-US" w:eastAsia="zh-CN" w:bidi="ar-SA"/>
              </w:rPr>
            </w:pPr>
          </w:p>
        </w:tc>
      </w:tr>
      <w:tr w14:paraId="0523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2B65E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29F8E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B714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4B9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7E8A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25D9B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（20）天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BD346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33F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01972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2B043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5</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9D88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C16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BD282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73951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B417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35A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C93A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41F34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AA7FF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E07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4F8A3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7C358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4F440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C19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D2633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821EF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B9AE2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01C9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80DBB5B">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62E69F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4697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F0282E2">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78464">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AD805">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D4E69">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7C7D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98610D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9C0C29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FE8358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4C3E1DE">
            <w:pPr>
              <w:jc w:val="center"/>
              <w:rPr>
                <w:rFonts w:hint="eastAsia" w:asciiTheme="minorEastAsia" w:hAnsiTheme="minorEastAsia" w:eastAsiaTheme="minorEastAsia" w:cstheme="minorEastAsia"/>
                <w:sz w:val="18"/>
                <w:szCs w:val="18"/>
              </w:rPr>
            </w:pPr>
          </w:p>
        </w:tc>
      </w:tr>
      <w:tr w14:paraId="354C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E02A5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0F93188">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BA5D02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E9EB25B">
            <w:pPr>
              <w:jc w:val="center"/>
              <w:rPr>
                <w:rFonts w:hint="eastAsia" w:asciiTheme="minorEastAsia" w:hAnsiTheme="minorEastAsia" w:eastAsiaTheme="minorEastAsia" w:cstheme="minorEastAsia"/>
                <w:sz w:val="18"/>
                <w:szCs w:val="18"/>
              </w:rPr>
            </w:pPr>
          </w:p>
        </w:tc>
      </w:tr>
      <w:tr w14:paraId="7291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7DDC3E9">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71621C7">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B045A5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C4CDE14">
            <w:pPr>
              <w:jc w:val="center"/>
              <w:rPr>
                <w:rFonts w:hint="eastAsia" w:asciiTheme="minorEastAsia" w:hAnsiTheme="minorEastAsia" w:eastAsiaTheme="minorEastAsia" w:cstheme="minorEastAsia"/>
                <w:sz w:val="18"/>
                <w:szCs w:val="18"/>
              </w:rPr>
            </w:pPr>
          </w:p>
        </w:tc>
      </w:tr>
      <w:tr w14:paraId="580D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C03B2B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5D80EE67">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885F5D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73EC36">
            <w:pPr>
              <w:jc w:val="center"/>
              <w:rPr>
                <w:rFonts w:hint="eastAsia" w:asciiTheme="minorEastAsia" w:hAnsiTheme="minorEastAsia" w:eastAsiaTheme="minorEastAsia" w:cstheme="minorEastAsia"/>
                <w:sz w:val="18"/>
                <w:szCs w:val="18"/>
              </w:rPr>
            </w:pPr>
          </w:p>
        </w:tc>
      </w:tr>
      <w:tr w14:paraId="2069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0054418">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B16B1D5">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144000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54E1CF">
            <w:pPr>
              <w:jc w:val="center"/>
              <w:rPr>
                <w:rFonts w:hint="eastAsia" w:asciiTheme="minorEastAsia" w:hAnsiTheme="minorEastAsia" w:eastAsiaTheme="minorEastAsia" w:cstheme="minorEastAsia"/>
                <w:sz w:val="18"/>
                <w:szCs w:val="18"/>
              </w:rPr>
            </w:pPr>
          </w:p>
        </w:tc>
      </w:tr>
      <w:tr w14:paraId="7728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4E0A5D">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11BE3E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6AAC154">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41E2F6E">
            <w:pPr>
              <w:jc w:val="center"/>
              <w:rPr>
                <w:rFonts w:hint="eastAsia" w:asciiTheme="minorEastAsia" w:hAnsiTheme="minorEastAsia" w:eastAsiaTheme="minorEastAsia" w:cstheme="minorEastAsia"/>
                <w:sz w:val="18"/>
                <w:szCs w:val="18"/>
              </w:rPr>
            </w:pPr>
          </w:p>
        </w:tc>
      </w:tr>
    </w:tbl>
    <w:p w14:paraId="39535952">
      <w:pPr>
        <w:jc w:val="center"/>
        <w:rPr>
          <w:rFonts w:hint="eastAsia" w:asciiTheme="minorEastAsia" w:hAnsiTheme="minorEastAsia" w:eastAsiaTheme="minorEastAsia" w:cstheme="minorEastAsia"/>
          <w:sz w:val="21"/>
          <w:szCs w:val="21"/>
        </w:rPr>
      </w:pPr>
    </w:p>
    <w:p w14:paraId="7E5243EC">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5DF5AA56">
      <w:pPr>
        <w:spacing w:line="360" w:lineRule="auto"/>
        <w:jc w:val="center"/>
        <w:outlineLvl w:val="0"/>
        <w:rPr>
          <w:rFonts w:hint="eastAsia" w:ascii="宋体" w:hAnsi="宋体" w:eastAsia="宋体" w:cs="宋体"/>
          <w:b/>
          <w:bCs/>
          <w:color w:val="auto"/>
          <w:sz w:val="28"/>
          <w:szCs w:val="28"/>
          <w:lang w:val="en-US" w:eastAsia="zh-CN"/>
        </w:rPr>
      </w:pPr>
    </w:p>
    <w:p w14:paraId="16F72132">
      <w:pPr>
        <w:spacing w:line="360" w:lineRule="auto"/>
        <w:jc w:val="center"/>
        <w:outlineLvl w:val="0"/>
        <w:rPr>
          <w:rFonts w:hint="eastAsia" w:ascii="宋体" w:hAnsi="宋体" w:cs="宋体"/>
          <w:b/>
          <w:bCs/>
          <w:color w:val="auto"/>
          <w:sz w:val="28"/>
          <w:szCs w:val="28"/>
          <w:lang w:val="en-US" w:eastAsia="zh-CN"/>
        </w:rPr>
      </w:pPr>
      <w:bookmarkStart w:id="8" w:name="_Toc12551"/>
    </w:p>
    <w:p w14:paraId="383F5BC6">
      <w:pPr>
        <w:spacing w:line="360" w:lineRule="auto"/>
        <w:jc w:val="center"/>
        <w:outlineLvl w:val="0"/>
        <w:rPr>
          <w:rFonts w:hint="eastAsia" w:ascii="宋体" w:hAnsi="宋体" w:cs="宋体"/>
          <w:b/>
          <w:bCs/>
          <w:color w:val="auto"/>
          <w:sz w:val="28"/>
          <w:szCs w:val="28"/>
          <w:lang w:val="en-US" w:eastAsia="zh-CN"/>
        </w:rPr>
      </w:pPr>
    </w:p>
    <w:p w14:paraId="081B3B21">
      <w:pPr>
        <w:spacing w:line="360" w:lineRule="auto"/>
        <w:jc w:val="center"/>
        <w:outlineLvl w:val="0"/>
        <w:rPr>
          <w:rFonts w:hint="eastAsia" w:ascii="宋体" w:hAnsi="宋体" w:cs="宋体"/>
          <w:b/>
          <w:bCs/>
          <w:color w:val="auto"/>
          <w:sz w:val="28"/>
          <w:szCs w:val="28"/>
          <w:lang w:val="en-US" w:eastAsia="zh-CN"/>
        </w:rPr>
      </w:pPr>
    </w:p>
    <w:p w14:paraId="4C4DE3A6">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2246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FD5E2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60A7D6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仿宋_GB2312" w:hAnsi="仿宋_GB2312" w:eastAsia="仿宋_GB2312" w:cs="仿宋_GB2312"/>
                <w:b/>
                <w:bCs/>
                <w:color w:val="auto"/>
                <w:sz w:val="24"/>
                <w:szCs w:val="24"/>
                <w:lang w:val="en-US" w:eastAsia="zh-CN"/>
              </w:rPr>
              <w:t>内镜纯水机</w:t>
            </w:r>
          </w:p>
        </w:tc>
      </w:tr>
      <w:tr w14:paraId="2F13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B6184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077FD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F3583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3F8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8174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2A97E70">
            <w:pPr>
              <w:widowControl/>
              <w:numPr>
                <w:ilvl w:val="0"/>
                <w:numId w:val="0"/>
              </w:numPr>
              <w:spacing w:before="100" w:beforeAutospacing="1" w:after="100" w:afterAutospacing="1"/>
              <w:jc w:val="left"/>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color w:val="auto"/>
                <w:kern w:val="2"/>
                <w:sz w:val="24"/>
                <w:szCs w:val="24"/>
                <w:lang w:val="en-US" w:eastAsia="zh-CN" w:bidi="ar-SA"/>
              </w:rPr>
              <w:t>纯水机的制水量要1小时1吨</w:t>
            </w:r>
          </w:p>
        </w:tc>
        <w:tc>
          <w:tcPr>
            <w:tcW w:w="3307" w:type="dxa"/>
            <w:tcBorders>
              <w:top w:val="single" w:color="auto" w:sz="4" w:space="0"/>
              <w:left w:val="single" w:color="auto" w:sz="4" w:space="0"/>
              <w:right w:val="single" w:color="auto" w:sz="4" w:space="0"/>
            </w:tcBorders>
            <w:shd w:val="clear" w:color="auto" w:fill="auto"/>
            <w:noWrap w:val="0"/>
            <w:vAlign w:val="top"/>
          </w:tcPr>
          <w:p w14:paraId="7A3EF1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433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CE04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DDBB4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 预处理    2. 反渗透（RO）   3. 灭菌抑菌    4. 储水与输送</w:t>
            </w:r>
          </w:p>
          <w:p w14:paraId="0A9AFCCF">
            <w:pPr>
              <w:widowControl/>
              <w:numPr>
                <w:ilvl w:val="0"/>
                <w:numId w:val="0"/>
              </w:numPr>
              <w:spacing w:before="100" w:beforeAutospacing="1" w:after="100" w:afterAutospacing="1"/>
              <w:jc w:val="left"/>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00D8AA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774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7AC4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A5AA36C">
            <w:pPr>
              <w:widowControl/>
              <w:numPr>
                <w:ilvl w:val="1"/>
                <w:numId w:val="1"/>
              </w:numPr>
              <w:spacing w:before="100" w:beforeAutospacing="1" w:after="100" w:afterAutospacing="1"/>
              <w:jc w:val="left"/>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3A37C6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BCF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F5F4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851DD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是否需要配套使用耗材 是□ 否 ☑       </w:t>
            </w:r>
          </w:p>
          <w:p w14:paraId="0D7E1C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189CA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40D6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8021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9CE8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501B6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252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DBF0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09CC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90BE8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F68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475E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CA56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70C7C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2F1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A6B6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2AB7DF">
            <w:pPr>
              <w:keepNext w:val="0"/>
              <w:keepLines w:val="0"/>
              <w:pageBreakBefore w:val="0"/>
              <w:widowControl w:val="0"/>
              <w:numPr>
                <w:ilvl w:val="0"/>
                <w:numId w:val="2"/>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原水增压→PP棉→活性炭→软化→精密过滤器</w:t>
            </w:r>
            <w:r>
              <w:rPr>
                <w:rFonts w:hint="eastAsia" w:ascii="仿宋_GB2312" w:hAnsi="仿宋_GB2312" w:eastAsia="仿宋_GB2312" w:cs="仿宋_GB2312"/>
                <w:color w:val="auto"/>
                <w:sz w:val="24"/>
                <w:szCs w:val="24"/>
                <w:lang w:val="en-US" w:eastAsia="zh-CN"/>
              </w:rPr>
              <w:t xml:space="preserve"> </w:t>
            </w:r>
          </w:p>
          <w:p w14:paraId="4AB5DB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1D9FE0">
            <w:pPr>
              <w:ind w:firstLine="440" w:firstLineChars="200"/>
              <w:jc w:val="center"/>
              <w:rPr>
                <w:rFonts w:hint="eastAsia" w:ascii="宋体" w:hAnsi="宋体" w:eastAsia="宋体" w:cs="Times New Roman"/>
                <w:kern w:val="2"/>
                <w:sz w:val="22"/>
                <w:szCs w:val="21"/>
                <w:lang w:val="en-US" w:eastAsia="zh-CN" w:bidi="ar-SA"/>
              </w:rPr>
            </w:pPr>
          </w:p>
        </w:tc>
      </w:tr>
      <w:tr w14:paraId="2FAE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C570B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2F8EA2">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反渗透（RO）：脱盐率≥99%；开机/取水后自动冲洗，防膜污染。</w:t>
            </w:r>
          </w:p>
          <w:p w14:paraId="20648A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004A30">
            <w:pPr>
              <w:jc w:val="center"/>
              <w:rPr>
                <w:rFonts w:hint="eastAsia" w:ascii="宋体" w:hAnsi="宋体" w:eastAsia="宋体" w:cs="宋体"/>
                <w:color w:val="auto"/>
                <w:kern w:val="2"/>
                <w:sz w:val="21"/>
                <w:szCs w:val="21"/>
                <w:lang w:val="en-US" w:eastAsia="zh-CN" w:bidi="ar-SA"/>
              </w:rPr>
            </w:pPr>
          </w:p>
        </w:tc>
      </w:tr>
      <w:tr w14:paraId="7594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91291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502C1A">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终端灭菌：除菌过滤器（终端），   紫外灯：循环杀菌。</w:t>
            </w:r>
          </w:p>
          <w:p w14:paraId="3F38C13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84D8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7D36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E6F8B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399154">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储水与循环</w:t>
            </w:r>
            <w:r>
              <w:rPr>
                <w:rFonts w:hint="eastAsia" w:ascii="仿宋_GB2312" w:hAnsi="仿宋_GB2312" w:eastAsia="仿宋_GB2312" w:cs="仿宋_GB2312"/>
                <w:color w:val="auto"/>
                <w:sz w:val="24"/>
                <w:szCs w:val="24"/>
                <w:lang w:val="en-US" w:eastAsia="zh-CN"/>
              </w:rPr>
              <w:t>：</w:t>
            </w:r>
            <w:r>
              <w:rPr>
                <w:rFonts w:hint="default" w:ascii="仿宋_GB2312" w:hAnsi="仿宋_GB2312" w:eastAsia="仿宋_GB2312" w:cs="仿宋_GB2312"/>
                <w:color w:val="auto"/>
                <w:sz w:val="24"/>
                <w:szCs w:val="24"/>
                <w:lang w:val="en-US" w:eastAsia="zh-CN"/>
              </w:rPr>
              <w:t>无菌水箱</w:t>
            </w:r>
            <w:r>
              <w:rPr>
                <w:rFonts w:hint="eastAsia" w:ascii="仿宋_GB2312" w:hAnsi="仿宋_GB2312" w:eastAsia="仿宋_GB2312" w:cs="仿宋_GB2312"/>
                <w:color w:val="auto"/>
                <w:sz w:val="24"/>
                <w:szCs w:val="24"/>
                <w:lang w:val="en-US" w:eastAsia="zh-CN"/>
              </w:rPr>
              <w:t>和</w:t>
            </w:r>
            <w:r>
              <w:rPr>
                <w:rFonts w:hint="default" w:ascii="仿宋_GB2312" w:hAnsi="仿宋_GB2312" w:eastAsia="仿宋_GB2312" w:cs="仿宋_GB2312"/>
                <w:color w:val="auto"/>
                <w:sz w:val="24"/>
                <w:szCs w:val="24"/>
                <w:lang w:val="en-US" w:eastAsia="zh-CN"/>
              </w:rPr>
              <w:t>循环泵</w:t>
            </w:r>
            <w:r>
              <w:rPr>
                <w:rFonts w:hint="eastAsia" w:ascii="仿宋_GB2312" w:hAnsi="仿宋_GB2312" w:eastAsia="仿宋_GB2312" w:cs="仿宋_GB2312"/>
                <w:color w:val="auto"/>
                <w:sz w:val="24"/>
                <w:szCs w:val="24"/>
                <w:lang w:val="en-US" w:eastAsia="zh-CN"/>
              </w:rPr>
              <w:t>。</w:t>
            </w:r>
          </w:p>
          <w:p w14:paraId="441A53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14A2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F81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1F450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7CDE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FD70E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F26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966A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F9D9D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A794C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3DC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349F9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27CFA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5</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4F65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4DC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B5950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AD18B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15222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975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C4EB2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9FBDB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2A5BE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6B1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9DFE2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FDDFD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D5805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346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F586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7C05B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EE1C2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7EFE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B1F042A">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BE47F83">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B26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5681EF2">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F7D163">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E32F2">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17218">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2442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B2C515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DA5433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8A201DA">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166EA9C">
            <w:pPr>
              <w:jc w:val="center"/>
              <w:rPr>
                <w:rFonts w:hint="eastAsia" w:asciiTheme="minorEastAsia" w:hAnsiTheme="minorEastAsia" w:eastAsiaTheme="minorEastAsia" w:cstheme="minorEastAsia"/>
                <w:sz w:val="18"/>
                <w:szCs w:val="18"/>
              </w:rPr>
            </w:pPr>
          </w:p>
        </w:tc>
      </w:tr>
      <w:tr w14:paraId="5BE6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5E65CF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AA82B27">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624E04D">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A4B774E">
            <w:pPr>
              <w:jc w:val="center"/>
              <w:rPr>
                <w:rFonts w:hint="eastAsia" w:asciiTheme="minorEastAsia" w:hAnsiTheme="minorEastAsia" w:eastAsiaTheme="minorEastAsia" w:cstheme="minorEastAsia"/>
                <w:sz w:val="18"/>
                <w:szCs w:val="18"/>
              </w:rPr>
            </w:pPr>
          </w:p>
        </w:tc>
      </w:tr>
      <w:tr w14:paraId="2087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686BEC4">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5D9096E">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0E2236E">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68A542F">
            <w:pPr>
              <w:jc w:val="center"/>
              <w:rPr>
                <w:rFonts w:hint="eastAsia" w:asciiTheme="minorEastAsia" w:hAnsiTheme="minorEastAsia" w:eastAsiaTheme="minorEastAsia" w:cstheme="minorEastAsia"/>
                <w:sz w:val="18"/>
                <w:szCs w:val="18"/>
              </w:rPr>
            </w:pPr>
          </w:p>
        </w:tc>
      </w:tr>
      <w:tr w14:paraId="3BC7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9C2743D">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B79801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CEE237A">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4D05C4E">
            <w:pPr>
              <w:jc w:val="center"/>
              <w:rPr>
                <w:rFonts w:hint="eastAsia" w:asciiTheme="minorEastAsia" w:hAnsiTheme="minorEastAsia" w:eastAsiaTheme="minorEastAsia" w:cstheme="minorEastAsia"/>
                <w:sz w:val="18"/>
                <w:szCs w:val="18"/>
              </w:rPr>
            </w:pPr>
          </w:p>
        </w:tc>
      </w:tr>
      <w:tr w14:paraId="14CB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4D39578">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1933C8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B72B6B2">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526441B">
            <w:pPr>
              <w:jc w:val="center"/>
              <w:rPr>
                <w:rFonts w:hint="eastAsia" w:asciiTheme="minorEastAsia" w:hAnsiTheme="minorEastAsia" w:eastAsiaTheme="minorEastAsia" w:cstheme="minorEastAsia"/>
                <w:sz w:val="18"/>
                <w:szCs w:val="18"/>
              </w:rPr>
            </w:pPr>
          </w:p>
        </w:tc>
      </w:tr>
      <w:tr w14:paraId="7BC9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B701090">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161201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F66D274">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D2D3886">
            <w:pPr>
              <w:jc w:val="center"/>
              <w:rPr>
                <w:rFonts w:hint="eastAsia" w:asciiTheme="minorEastAsia" w:hAnsiTheme="minorEastAsia" w:eastAsiaTheme="minorEastAsia" w:cstheme="minorEastAsia"/>
                <w:sz w:val="18"/>
                <w:szCs w:val="18"/>
              </w:rPr>
            </w:pPr>
          </w:p>
        </w:tc>
      </w:tr>
    </w:tbl>
    <w:p w14:paraId="0F885EF4">
      <w:pPr>
        <w:jc w:val="center"/>
        <w:rPr>
          <w:rFonts w:hint="eastAsia" w:asciiTheme="minorEastAsia" w:hAnsiTheme="minorEastAsia" w:eastAsiaTheme="minorEastAsia" w:cstheme="minorEastAsia"/>
          <w:sz w:val="21"/>
          <w:szCs w:val="21"/>
        </w:rPr>
      </w:pPr>
    </w:p>
    <w:p w14:paraId="27D9363E">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17583942">
      <w:pPr>
        <w:spacing w:line="360" w:lineRule="auto"/>
        <w:jc w:val="center"/>
        <w:outlineLvl w:val="0"/>
        <w:rPr>
          <w:rFonts w:hint="eastAsia" w:ascii="宋体" w:hAnsi="宋体" w:eastAsia="宋体" w:cs="宋体"/>
          <w:b/>
          <w:bCs/>
          <w:color w:val="auto"/>
          <w:sz w:val="28"/>
          <w:szCs w:val="28"/>
          <w:lang w:val="en-US" w:eastAsia="zh-CN"/>
        </w:rPr>
      </w:pPr>
    </w:p>
    <w:p w14:paraId="6F411FFC">
      <w:pPr>
        <w:spacing w:line="360" w:lineRule="auto"/>
        <w:jc w:val="center"/>
        <w:outlineLvl w:val="0"/>
        <w:rPr>
          <w:rFonts w:hint="eastAsia" w:ascii="宋体" w:hAnsi="宋体" w:cs="宋体"/>
          <w:b/>
          <w:bCs/>
          <w:color w:val="auto"/>
          <w:sz w:val="28"/>
          <w:szCs w:val="28"/>
          <w:lang w:val="en-US" w:eastAsia="zh-CN"/>
        </w:rPr>
      </w:pPr>
    </w:p>
    <w:p w14:paraId="0A3BC6DB">
      <w:pPr>
        <w:spacing w:line="360" w:lineRule="auto"/>
        <w:jc w:val="center"/>
        <w:outlineLvl w:val="0"/>
        <w:rPr>
          <w:rFonts w:hint="eastAsia" w:ascii="宋体" w:hAnsi="宋体" w:cs="宋体"/>
          <w:b/>
          <w:bCs/>
          <w:color w:val="auto"/>
          <w:sz w:val="28"/>
          <w:szCs w:val="28"/>
          <w:lang w:val="en-US" w:eastAsia="zh-CN"/>
        </w:rPr>
      </w:pPr>
    </w:p>
    <w:p w14:paraId="6FB9301B">
      <w:pPr>
        <w:spacing w:line="360" w:lineRule="auto"/>
        <w:jc w:val="center"/>
        <w:outlineLvl w:val="0"/>
        <w:rPr>
          <w:rFonts w:hint="eastAsia" w:ascii="宋体" w:hAnsi="宋体" w:cs="宋体"/>
          <w:b/>
          <w:bCs/>
          <w:color w:val="auto"/>
          <w:sz w:val="28"/>
          <w:szCs w:val="28"/>
          <w:lang w:val="en-US" w:eastAsia="zh-CN"/>
        </w:rPr>
      </w:pPr>
    </w:p>
    <w:p w14:paraId="0FD82874">
      <w:pPr>
        <w:spacing w:line="360" w:lineRule="auto"/>
        <w:jc w:val="center"/>
        <w:outlineLvl w:val="0"/>
        <w:rPr>
          <w:rFonts w:hint="eastAsia" w:ascii="宋体" w:hAnsi="宋体" w:cs="宋体"/>
          <w:b/>
          <w:bCs/>
          <w:color w:val="auto"/>
          <w:sz w:val="28"/>
          <w:szCs w:val="28"/>
          <w:lang w:val="en-US" w:eastAsia="zh-CN"/>
        </w:rPr>
      </w:pPr>
    </w:p>
    <w:p w14:paraId="6771B238">
      <w:pPr>
        <w:spacing w:line="360" w:lineRule="auto"/>
        <w:jc w:val="center"/>
        <w:outlineLvl w:val="0"/>
        <w:rPr>
          <w:rFonts w:hint="eastAsia" w:ascii="宋体" w:hAnsi="宋体" w:cs="宋体"/>
          <w:b/>
          <w:bCs/>
          <w:color w:val="auto"/>
          <w:sz w:val="28"/>
          <w:szCs w:val="28"/>
          <w:lang w:val="en-US" w:eastAsia="zh-CN"/>
        </w:rPr>
      </w:pPr>
    </w:p>
    <w:p w14:paraId="63F2A41E">
      <w:pPr>
        <w:spacing w:line="360" w:lineRule="auto"/>
        <w:jc w:val="center"/>
        <w:outlineLvl w:val="0"/>
        <w:rPr>
          <w:rFonts w:hint="eastAsia" w:ascii="宋体" w:hAnsi="宋体" w:cs="宋体"/>
          <w:b/>
          <w:bCs/>
          <w:color w:val="auto"/>
          <w:sz w:val="28"/>
          <w:szCs w:val="28"/>
          <w:lang w:val="en-US" w:eastAsia="zh-CN"/>
        </w:rPr>
      </w:pPr>
    </w:p>
    <w:p w14:paraId="480B6B2C">
      <w:pPr>
        <w:spacing w:line="360" w:lineRule="auto"/>
        <w:jc w:val="center"/>
        <w:outlineLvl w:val="0"/>
        <w:rPr>
          <w:rFonts w:hint="eastAsia" w:ascii="宋体" w:hAnsi="宋体" w:cs="宋体"/>
          <w:b/>
          <w:bCs/>
          <w:color w:val="auto"/>
          <w:sz w:val="28"/>
          <w:szCs w:val="28"/>
          <w:lang w:val="en-US" w:eastAsia="zh-CN"/>
        </w:rPr>
      </w:pPr>
    </w:p>
    <w:p w14:paraId="1D08226B">
      <w:pPr>
        <w:spacing w:line="360" w:lineRule="auto"/>
        <w:jc w:val="center"/>
        <w:outlineLvl w:val="0"/>
        <w:rPr>
          <w:rFonts w:hint="eastAsia" w:ascii="宋体" w:hAnsi="宋体" w:cs="宋体"/>
          <w:b/>
          <w:bCs/>
          <w:color w:val="auto"/>
          <w:sz w:val="28"/>
          <w:szCs w:val="28"/>
          <w:lang w:val="en-US" w:eastAsia="zh-CN"/>
        </w:rPr>
      </w:pPr>
    </w:p>
    <w:p w14:paraId="3BECB39C">
      <w:pPr>
        <w:spacing w:line="360" w:lineRule="auto"/>
        <w:jc w:val="center"/>
        <w:outlineLvl w:val="0"/>
        <w:rPr>
          <w:rFonts w:hint="eastAsia" w:ascii="宋体" w:hAnsi="宋体" w:cs="宋体"/>
          <w:b/>
          <w:bCs/>
          <w:color w:val="auto"/>
          <w:sz w:val="28"/>
          <w:szCs w:val="28"/>
          <w:lang w:val="en-US" w:eastAsia="zh-CN"/>
        </w:rPr>
      </w:pPr>
    </w:p>
    <w:p w14:paraId="395AB1E0">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35D3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64251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F0BBC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t>多参数监护仪</w:t>
            </w:r>
          </w:p>
        </w:tc>
      </w:tr>
      <w:tr w14:paraId="252C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8DB0B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37D79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01EFB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543F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F7C2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E3144E8">
            <w:pPr>
              <w:pStyle w:val="26"/>
              <w:spacing w:before="27" w:line="256" w:lineRule="auto"/>
              <w:ind w:left="19" w:leftChars="0" w:hanging="9" w:firstLineChars="0"/>
              <w:rPr>
                <w:rFonts w:hint="eastAsia" w:ascii="微软雅黑" w:hAnsi="微软雅黑" w:eastAsia="微软雅黑"/>
                <w:szCs w:val="21"/>
              </w:rPr>
            </w:pPr>
            <w:r>
              <w:t>模块化监护仪，主机集成内置≥2槽位插件槽，可</w:t>
            </w:r>
            <w:r>
              <w:rPr>
                <w:spacing w:val="-1"/>
              </w:rPr>
              <w:t>选配升级IBP,</w:t>
            </w:r>
            <w:r>
              <w:rPr>
                <w:rFonts w:hint="eastAsia"/>
                <w:spacing w:val="-1"/>
                <w:lang w:eastAsia="zh-CN"/>
              </w:rPr>
              <w:t>CO2</w:t>
            </w:r>
            <w:r>
              <w:rPr>
                <w:spacing w:val="-1"/>
              </w:rPr>
              <w:t>和AG任意</w:t>
            </w:r>
            <w:r>
              <w:rPr>
                <w:rFonts w:hint="eastAsia"/>
                <w:spacing w:val="-1"/>
                <w:lang w:eastAsia="zh-CN"/>
              </w:rPr>
              <w:t>参数</w:t>
            </w:r>
            <w:r>
              <w:rPr>
                <w:spacing w:val="1"/>
              </w:rPr>
              <w:t>模块的即插即用快速扩展临床应用</w:t>
            </w:r>
          </w:p>
        </w:tc>
        <w:tc>
          <w:tcPr>
            <w:tcW w:w="3307" w:type="dxa"/>
            <w:tcBorders>
              <w:top w:val="single" w:color="auto" w:sz="4" w:space="0"/>
              <w:left w:val="single" w:color="auto" w:sz="4" w:space="0"/>
              <w:right w:val="single" w:color="auto" w:sz="4" w:space="0"/>
            </w:tcBorders>
            <w:shd w:val="clear" w:color="auto" w:fill="auto"/>
            <w:noWrap w:val="0"/>
            <w:vAlign w:val="top"/>
          </w:tcPr>
          <w:p w14:paraId="23965D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7F4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3E2C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06723B8">
            <w:pPr>
              <w:pStyle w:val="26"/>
              <w:spacing w:before="69" w:line="252" w:lineRule="auto"/>
              <w:ind w:left="20" w:leftChars="0"/>
              <w:jc w:val="both"/>
              <w:rPr>
                <w:rFonts w:hint="eastAsia" w:ascii="微软雅黑" w:hAnsi="微软雅黑" w:eastAsia="微软雅黑"/>
                <w:szCs w:val="21"/>
              </w:rPr>
            </w:pPr>
            <w:r>
              <w:rPr>
                <w:spacing w:val="-7"/>
              </w:rPr>
              <w:t>监护仪主机</w:t>
            </w:r>
            <w:r>
              <w:rPr>
                <w:rFonts w:hint="eastAsia"/>
                <w:spacing w:val="-7"/>
                <w:lang w:eastAsia="zh-CN"/>
              </w:rPr>
              <w:t>（</w:t>
            </w:r>
            <w:r>
              <w:rPr>
                <w:spacing w:val="-7"/>
              </w:rPr>
              <w:t>非辅助插件箱</w:t>
            </w:r>
            <w:r>
              <w:rPr>
                <w:rFonts w:hint="eastAsia"/>
                <w:spacing w:val="-7"/>
                <w:lang w:eastAsia="zh-CN"/>
              </w:rPr>
              <w:t>）</w:t>
            </w:r>
            <w:r>
              <w:rPr>
                <w:spacing w:val="-7"/>
              </w:rPr>
              <w:t>每个槽位均具备插件模块红外通讯接口以及金属硬件</w:t>
            </w:r>
            <w:r>
              <w:rPr>
                <w:spacing w:val="-9"/>
              </w:rPr>
              <w:t>通讯接口</w:t>
            </w:r>
            <w:r>
              <w:rPr>
                <w:rFonts w:hint="eastAsia"/>
                <w:spacing w:val="-9"/>
                <w:lang w:eastAsia="zh-CN"/>
              </w:rPr>
              <w:t>（</w:t>
            </w:r>
            <w:r>
              <w:rPr>
                <w:spacing w:val="-9"/>
              </w:rPr>
              <w:t>非供电接口</w:t>
            </w:r>
            <w:r>
              <w:rPr>
                <w:rFonts w:hint="eastAsia"/>
                <w:spacing w:val="-9"/>
                <w:lang w:eastAsia="zh-CN"/>
              </w:rPr>
              <w:t>），</w:t>
            </w:r>
            <w:r>
              <w:rPr>
                <w:spacing w:val="-9"/>
              </w:rPr>
              <w:t>保证模块通讯速率及稳定性，提供</w:t>
            </w:r>
            <w:r>
              <w:rPr>
                <w:spacing w:val="-10"/>
              </w:rPr>
              <w:t>监护仪主机插槽图片</w:t>
            </w:r>
            <w:r>
              <w:rPr>
                <w:rFonts w:hint="eastAsia"/>
                <w:spacing w:val="-10"/>
                <w:lang w:eastAsia="zh-CN"/>
              </w:rPr>
              <w:t>证明</w:t>
            </w:r>
          </w:p>
        </w:tc>
        <w:tc>
          <w:tcPr>
            <w:tcW w:w="3307" w:type="dxa"/>
            <w:tcBorders>
              <w:top w:val="single" w:color="auto" w:sz="4" w:space="0"/>
              <w:left w:val="single" w:color="auto" w:sz="4" w:space="0"/>
              <w:right w:val="single" w:color="auto" w:sz="4" w:space="0"/>
            </w:tcBorders>
            <w:shd w:val="clear" w:color="auto" w:fill="auto"/>
            <w:noWrap w:val="0"/>
            <w:vAlign w:val="top"/>
          </w:tcPr>
          <w:p w14:paraId="127573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739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EDEE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D28676B">
            <w:pPr>
              <w:pStyle w:val="26"/>
              <w:spacing w:before="52" w:line="249" w:lineRule="auto"/>
              <w:ind w:left="20" w:leftChars="0" w:firstLine="9" w:firstLineChars="0"/>
              <w:rPr>
                <w:rFonts w:hint="eastAsia" w:ascii="微软雅黑" w:hAnsi="微软雅黑" w:eastAsia="微软雅黑"/>
                <w:szCs w:val="21"/>
              </w:rPr>
            </w:pPr>
            <w:r>
              <w:rPr>
                <w:spacing w:val="-8"/>
              </w:rPr>
              <w:t>≥10.1英寸彩色液晶屏及电容触摸屏，分辨率高达≥1</w:t>
            </w:r>
            <w:r>
              <w:rPr>
                <w:spacing w:val="-9"/>
              </w:rPr>
              <w:t>280*800像素，≥8通道波形</w:t>
            </w:r>
            <w:r>
              <w:rPr>
                <w:spacing w:val="4"/>
              </w:rPr>
              <w:t>显示</w:t>
            </w:r>
          </w:p>
        </w:tc>
        <w:tc>
          <w:tcPr>
            <w:tcW w:w="3307" w:type="dxa"/>
            <w:tcBorders>
              <w:top w:val="single" w:color="auto" w:sz="4" w:space="0"/>
              <w:left w:val="single" w:color="auto" w:sz="4" w:space="0"/>
              <w:right w:val="single" w:color="auto" w:sz="4" w:space="0"/>
            </w:tcBorders>
            <w:shd w:val="clear" w:color="auto" w:fill="auto"/>
            <w:noWrap w:val="0"/>
            <w:vAlign w:val="top"/>
          </w:tcPr>
          <w:p w14:paraId="5D6C41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754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0111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2430E56">
            <w:pPr>
              <w:pStyle w:val="26"/>
              <w:spacing w:before="41" w:line="219" w:lineRule="auto"/>
              <w:ind w:left="20" w:leftChars="0"/>
              <w:rPr>
                <w:rFonts w:hint="eastAsia" w:ascii="微软雅黑" w:hAnsi="微软雅黑" w:eastAsia="微软雅黑"/>
                <w:szCs w:val="21"/>
              </w:rPr>
            </w:pPr>
            <w:r>
              <w:t>显示屏采用宽视角技术，支持170度可视范围，提供彩页证明材料</w:t>
            </w:r>
          </w:p>
        </w:tc>
        <w:tc>
          <w:tcPr>
            <w:tcW w:w="3307" w:type="dxa"/>
            <w:tcBorders>
              <w:top w:val="single" w:color="auto" w:sz="4" w:space="0"/>
              <w:left w:val="single" w:color="auto" w:sz="4" w:space="0"/>
              <w:right w:val="single" w:color="auto" w:sz="4" w:space="0"/>
            </w:tcBorders>
            <w:shd w:val="clear" w:color="auto" w:fill="auto"/>
            <w:noWrap w:val="0"/>
            <w:vAlign w:val="top"/>
          </w:tcPr>
          <w:p w14:paraId="38148D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921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03AE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C414687">
            <w:pPr>
              <w:pStyle w:val="26"/>
              <w:spacing w:before="43" w:line="249" w:lineRule="auto"/>
              <w:ind w:left="20" w:leftChars="0" w:firstLine="19" w:firstLineChars="0"/>
              <w:rPr>
                <w:rFonts w:hint="eastAsia" w:ascii="微软雅黑" w:hAnsi="微软雅黑" w:eastAsia="微软雅黑"/>
                <w:szCs w:val="21"/>
              </w:rPr>
            </w:pPr>
            <w:r>
              <w:rPr>
                <w:spacing w:val="-13"/>
              </w:rPr>
              <w:t>内置锂电池，插槽式设计，无需螺丝刀</w:t>
            </w:r>
            <w:r>
              <w:rPr>
                <w:rFonts w:hint="eastAsia"/>
                <w:spacing w:val="-13"/>
                <w:lang w:eastAsia="zh-CN"/>
              </w:rPr>
              <w:t>等工具</w:t>
            </w:r>
            <w:r>
              <w:rPr>
                <w:spacing w:val="-13"/>
              </w:rPr>
              <w:t>支持快速拆卸和安装。锂电池支持</w:t>
            </w:r>
            <w:r>
              <w:rPr>
                <w:rFonts w:hint="eastAsia"/>
                <w:spacing w:val="-13"/>
                <w:lang w:eastAsia="zh-CN"/>
              </w:rPr>
              <w:t>监护仪</w:t>
            </w:r>
            <w:r>
              <w:t>工作时间≥4小时</w:t>
            </w:r>
            <w:r>
              <w:rPr>
                <w:rFonts w:hint="eastAsia"/>
                <w:lang w:eastAsia="zh-CN"/>
              </w:rPr>
              <w:t>，</w:t>
            </w:r>
            <w:r>
              <w:t>可选配高容量电池工作时间≥6小时</w:t>
            </w:r>
          </w:p>
        </w:tc>
        <w:tc>
          <w:tcPr>
            <w:tcW w:w="3307" w:type="dxa"/>
            <w:tcBorders>
              <w:top w:val="single" w:color="auto" w:sz="4" w:space="0"/>
              <w:left w:val="single" w:color="auto" w:sz="4" w:space="0"/>
              <w:right w:val="single" w:color="auto" w:sz="4" w:space="0"/>
            </w:tcBorders>
            <w:shd w:val="clear" w:color="auto" w:fill="auto"/>
            <w:noWrap w:val="0"/>
            <w:vAlign w:val="top"/>
          </w:tcPr>
          <w:p w14:paraId="214ADC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8FB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340C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3198041">
            <w:pPr>
              <w:pStyle w:val="26"/>
              <w:spacing w:before="48" w:line="214" w:lineRule="auto"/>
              <w:ind w:left="20" w:leftChars="0"/>
              <w:rPr>
                <w:rFonts w:hint="eastAsia" w:ascii="微软雅黑" w:hAnsi="微软雅黑" w:eastAsia="微软雅黑"/>
                <w:szCs w:val="21"/>
              </w:rPr>
            </w:pPr>
            <w:r>
              <w:t>安全规格：ECG</w:t>
            </w:r>
            <w:r>
              <w:rPr>
                <w:rFonts w:hint="eastAsia"/>
                <w:lang w:eastAsia="zh-CN"/>
              </w:rPr>
              <w:t>、</w:t>
            </w:r>
            <w:r>
              <w:t>TEMP</w:t>
            </w:r>
            <w:r>
              <w:rPr>
                <w:rFonts w:hint="eastAsia"/>
                <w:lang w:eastAsia="zh-CN"/>
              </w:rPr>
              <w:t>、</w:t>
            </w:r>
            <w:r>
              <w:t>IBP,Sp02,NIBP监测参数抗电击程度为防除颤CF型</w:t>
            </w:r>
          </w:p>
        </w:tc>
        <w:tc>
          <w:tcPr>
            <w:tcW w:w="3307" w:type="dxa"/>
            <w:tcBorders>
              <w:top w:val="single" w:color="auto" w:sz="4" w:space="0"/>
              <w:left w:val="single" w:color="auto" w:sz="4" w:space="0"/>
              <w:right w:val="single" w:color="auto" w:sz="4" w:space="0"/>
            </w:tcBorders>
            <w:shd w:val="clear" w:color="auto" w:fill="auto"/>
            <w:noWrap w:val="0"/>
            <w:vAlign w:val="top"/>
          </w:tcPr>
          <w:p w14:paraId="397489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3EF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3CCE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5998137">
            <w:pPr>
              <w:pStyle w:val="26"/>
              <w:spacing w:before="53" w:line="219" w:lineRule="auto"/>
              <w:ind w:left="20" w:leftChars="0"/>
              <w:rPr>
                <w:rFonts w:hint="eastAsia" w:ascii="微软雅黑" w:hAnsi="微软雅黑" w:eastAsia="微软雅黑"/>
                <w:szCs w:val="21"/>
              </w:rPr>
            </w:pPr>
            <w:r>
              <w:rPr>
                <w:spacing w:val="-1"/>
              </w:rPr>
              <w:t>监护仪设计使用年限≥10年</w:t>
            </w:r>
          </w:p>
        </w:tc>
        <w:tc>
          <w:tcPr>
            <w:tcW w:w="3307" w:type="dxa"/>
            <w:tcBorders>
              <w:top w:val="single" w:color="auto" w:sz="4" w:space="0"/>
              <w:left w:val="single" w:color="auto" w:sz="4" w:space="0"/>
              <w:right w:val="single" w:color="auto" w:sz="4" w:space="0"/>
            </w:tcBorders>
            <w:shd w:val="clear" w:color="auto" w:fill="auto"/>
            <w:noWrap w:val="0"/>
            <w:vAlign w:val="top"/>
          </w:tcPr>
          <w:p w14:paraId="187944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91D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AD10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85A2795">
            <w:pPr>
              <w:pStyle w:val="26"/>
              <w:spacing w:before="43" w:line="219" w:lineRule="auto"/>
              <w:jc w:val="right"/>
              <w:rPr>
                <w:rFonts w:hint="eastAsia" w:ascii="微软雅黑" w:hAnsi="微软雅黑" w:eastAsia="微软雅黑"/>
                <w:szCs w:val="21"/>
              </w:rPr>
            </w:pPr>
            <w:r>
              <w:rPr>
                <w:spacing w:val="-7"/>
              </w:rPr>
              <w:t>监护仪清洁消毒维护支持的消毒剂≥40种，在厂家手册中清晰列举消毒剂的种类</w:t>
            </w:r>
          </w:p>
        </w:tc>
        <w:tc>
          <w:tcPr>
            <w:tcW w:w="3307" w:type="dxa"/>
            <w:tcBorders>
              <w:top w:val="single" w:color="auto" w:sz="4" w:space="0"/>
              <w:left w:val="single" w:color="auto" w:sz="4" w:space="0"/>
              <w:right w:val="single" w:color="auto" w:sz="4" w:space="0"/>
            </w:tcBorders>
            <w:shd w:val="clear" w:color="auto" w:fill="auto"/>
            <w:noWrap w:val="0"/>
            <w:vAlign w:val="top"/>
          </w:tcPr>
          <w:p w14:paraId="4A02FA8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F87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EA072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7F4B58E">
            <w:pPr>
              <w:pStyle w:val="26"/>
              <w:spacing w:before="43" w:line="219" w:lineRule="auto"/>
              <w:ind w:left="20" w:leftChars="0"/>
              <w:rPr>
                <w:rFonts w:hint="eastAsia" w:ascii="微软雅黑" w:hAnsi="微软雅黑" w:eastAsia="微软雅黑"/>
                <w:szCs w:val="21"/>
              </w:rPr>
            </w:pPr>
            <w:r>
              <w:t>监护仪主机工作温度环境范围：0~40°C</w:t>
            </w:r>
          </w:p>
        </w:tc>
        <w:tc>
          <w:tcPr>
            <w:tcW w:w="3307" w:type="dxa"/>
            <w:tcBorders>
              <w:top w:val="single" w:color="auto" w:sz="4" w:space="0"/>
              <w:left w:val="single" w:color="auto" w:sz="4" w:space="0"/>
              <w:right w:val="single" w:color="auto" w:sz="4" w:space="0"/>
            </w:tcBorders>
            <w:shd w:val="clear" w:color="auto" w:fill="auto"/>
            <w:noWrap w:val="0"/>
            <w:vAlign w:val="top"/>
          </w:tcPr>
          <w:p w14:paraId="1EF37E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ED9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3C95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A092B94">
            <w:pPr>
              <w:pStyle w:val="26"/>
              <w:spacing w:before="193" w:line="219" w:lineRule="auto"/>
              <w:ind w:left="20" w:leftChars="0"/>
              <w:rPr>
                <w:rFonts w:hint="eastAsia" w:ascii="微软雅黑" w:hAnsi="微软雅黑" w:eastAsia="微软雅黑"/>
                <w:szCs w:val="21"/>
              </w:rPr>
            </w:pPr>
            <w:r>
              <w:rPr>
                <w:spacing w:val="-1"/>
              </w:rPr>
              <w:t>监护仪主机工作湿度环境范围</w:t>
            </w:r>
            <w:r>
              <w:rPr>
                <w:rFonts w:hint="eastAsia"/>
                <w:spacing w:val="-1"/>
                <w:lang w:eastAsia="zh-CN"/>
              </w:rPr>
              <w:t>：15%～95%</w:t>
            </w:r>
          </w:p>
        </w:tc>
        <w:tc>
          <w:tcPr>
            <w:tcW w:w="3307" w:type="dxa"/>
            <w:tcBorders>
              <w:top w:val="single" w:color="auto" w:sz="4" w:space="0"/>
              <w:left w:val="single" w:color="auto" w:sz="4" w:space="0"/>
              <w:right w:val="single" w:color="auto" w:sz="4" w:space="0"/>
            </w:tcBorders>
            <w:shd w:val="clear" w:color="auto" w:fill="auto"/>
            <w:noWrap w:val="0"/>
            <w:vAlign w:val="top"/>
          </w:tcPr>
          <w:p w14:paraId="3A0AF9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424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27FF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4898C52">
            <w:pPr>
              <w:pStyle w:val="26"/>
              <w:spacing w:before="27" w:line="256" w:lineRule="auto"/>
              <w:ind w:left="19" w:leftChars="0" w:hanging="9" w:firstLineChars="0"/>
              <w:rPr>
                <w:rFonts w:hint="eastAsia" w:ascii="微软雅黑" w:hAnsi="微软雅黑" w:eastAsia="微软雅黑"/>
                <w:szCs w:val="21"/>
              </w:rPr>
            </w:pPr>
            <w:r>
              <w:t>模块化监护仪，主机集成内置≥2槽位插件槽，可</w:t>
            </w:r>
            <w:r>
              <w:rPr>
                <w:spacing w:val="-1"/>
              </w:rPr>
              <w:t>选配升级IBP,</w:t>
            </w:r>
            <w:r>
              <w:rPr>
                <w:rFonts w:hint="eastAsia"/>
                <w:spacing w:val="-1"/>
                <w:lang w:eastAsia="zh-CN"/>
              </w:rPr>
              <w:t>CO2</w:t>
            </w:r>
            <w:r>
              <w:rPr>
                <w:spacing w:val="-1"/>
              </w:rPr>
              <w:t>和AG任意</w:t>
            </w:r>
            <w:r>
              <w:rPr>
                <w:rFonts w:hint="eastAsia"/>
                <w:spacing w:val="-1"/>
                <w:lang w:eastAsia="zh-CN"/>
              </w:rPr>
              <w:t>参数</w:t>
            </w:r>
            <w:r>
              <w:rPr>
                <w:spacing w:val="1"/>
              </w:rPr>
              <w:t>模块的即插即用快速扩展临床应用</w:t>
            </w:r>
          </w:p>
        </w:tc>
        <w:tc>
          <w:tcPr>
            <w:tcW w:w="3307" w:type="dxa"/>
            <w:tcBorders>
              <w:top w:val="single" w:color="auto" w:sz="4" w:space="0"/>
              <w:left w:val="single" w:color="auto" w:sz="4" w:space="0"/>
              <w:right w:val="single" w:color="auto" w:sz="4" w:space="0"/>
            </w:tcBorders>
            <w:shd w:val="clear" w:color="auto" w:fill="auto"/>
            <w:noWrap w:val="0"/>
            <w:vAlign w:val="top"/>
          </w:tcPr>
          <w:p w14:paraId="4F55143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B8B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942E5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4E4AE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是否需要配套使用耗材 是□ 否 ☑       </w:t>
            </w:r>
          </w:p>
          <w:p w14:paraId="641DAD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9D4DB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722F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6C72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B457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D72FC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2E0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513D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A39A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7E44F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421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40D9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FB65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9B30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55F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A1F4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92838D6">
            <w:pPr>
              <w:pStyle w:val="26"/>
              <w:spacing w:before="87" w:line="260" w:lineRule="auto"/>
              <w:ind w:left="19" w:leftChars="0" w:hanging="9" w:firstLineChars="0"/>
              <w:rPr>
                <w:rFonts w:hint="eastAsia" w:asciiTheme="minorEastAsia" w:hAnsiTheme="minorEastAsia" w:eastAsiaTheme="minorEastAsia" w:cstheme="minorEastAsia"/>
                <w:sz w:val="18"/>
                <w:szCs w:val="18"/>
                <w:lang w:val="en-US" w:eastAsia="zh-CN"/>
              </w:rPr>
            </w:pPr>
            <w:r>
              <w:rPr>
                <w:spacing w:val="-9"/>
              </w:rPr>
              <w:t>配置3/5导心电</w:t>
            </w:r>
            <w:r>
              <w:rPr>
                <w:rFonts w:hint="eastAsia"/>
                <w:spacing w:val="-9"/>
                <w:lang w:eastAsia="zh-CN"/>
              </w:rPr>
              <w:t>、</w:t>
            </w:r>
            <w:r>
              <w:rPr>
                <w:spacing w:val="-9"/>
              </w:rPr>
              <w:t>呼吸</w:t>
            </w:r>
            <w:r>
              <w:rPr>
                <w:rFonts w:hint="eastAsia"/>
                <w:spacing w:val="-9"/>
                <w:lang w:eastAsia="zh-CN"/>
              </w:rPr>
              <w:t>、</w:t>
            </w:r>
            <w:r>
              <w:rPr>
                <w:spacing w:val="-9"/>
              </w:rPr>
              <w:t>无创及有创血压</w:t>
            </w:r>
            <w:r>
              <w:rPr>
                <w:rFonts w:hint="eastAsia"/>
                <w:spacing w:val="-9"/>
                <w:lang w:eastAsia="zh-CN"/>
              </w:rPr>
              <w:t>、</w:t>
            </w:r>
            <w:r>
              <w:rPr>
                <w:spacing w:val="-9"/>
              </w:rPr>
              <w:t>血氧饱和度</w:t>
            </w:r>
            <w:r>
              <w:rPr>
                <w:rFonts w:hint="eastAsia"/>
                <w:spacing w:val="-9"/>
                <w:lang w:eastAsia="zh-CN"/>
              </w:rPr>
              <w:t>、</w:t>
            </w:r>
            <w:r>
              <w:rPr>
                <w:spacing w:val="-9"/>
              </w:rPr>
              <w:t>脉搏和双通道体温参数</w:t>
            </w:r>
            <w:r>
              <w:rPr>
                <w:rFonts w:hint="eastAsia"/>
                <w:spacing w:val="-9"/>
                <w:lang w:eastAsia="zh-CN"/>
              </w:rPr>
              <w:t>监测</w:t>
            </w:r>
            <w:r>
              <w:rPr>
                <w:spacing w:val="-1"/>
              </w:rPr>
              <w:t>，以上参数适用于成人、小儿、新生儿患者</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8928BF">
            <w:pPr>
              <w:ind w:firstLine="440" w:firstLineChars="200"/>
              <w:jc w:val="center"/>
              <w:rPr>
                <w:rFonts w:hint="eastAsia" w:ascii="宋体" w:hAnsi="宋体" w:eastAsia="宋体" w:cs="Times New Roman"/>
                <w:kern w:val="2"/>
                <w:sz w:val="22"/>
                <w:szCs w:val="21"/>
                <w:lang w:val="en-US" w:eastAsia="zh-CN" w:bidi="ar-SA"/>
              </w:rPr>
            </w:pPr>
          </w:p>
        </w:tc>
      </w:tr>
      <w:tr w14:paraId="6366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F0E0E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960FC2F">
            <w:pPr>
              <w:pStyle w:val="26"/>
              <w:spacing w:before="79" w:line="264" w:lineRule="auto"/>
              <w:ind w:left="20" w:leftChars="0" w:firstLine="19" w:firstLineChars="0"/>
              <w:rPr>
                <w:rFonts w:hint="eastAsia" w:asciiTheme="minorEastAsia" w:hAnsiTheme="minorEastAsia" w:eastAsiaTheme="minorEastAsia" w:cstheme="minorEastAsia"/>
                <w:sz w:val="18"/>
                <w:szCs w:val="18"/>
                <w:lang w:val="en-US" w:eastAsia="zh-CN"/>
              </w:rPr>
            </w:pPr>
            <w:r>
              <w:rPr>
                <w:spacing w:val="-12"/>
              </w:rPr>
              <w:t>心电监护支持心率</w:t>
            </w:r>
            <w:r>
              <w:rPr>
                <w:rFonts w:hint="eastAsia"/>
                <w:spacing w:val="-12"/>
                <w:lang w:eastAsia="zh-CN"/>
              </w:rPr>
              <w:t>、</w:t>
            </w:r>
            <w:r>
              <w:rPr>
                <w:spacing w:val="-12"/>
              </w:rPr>
              <w:t>ST段测量</w:t>
            </w:r>
            <w:r>
              <w:rPr>
                <w:rFonts w:hint="eastAsia"/>
                <w:spacing w:val="-12"/>
                <w:lang w:eastAsia="zh-CN"/>
              </w:rPr>
              <w:t>、</w:t>
            </w:r>
            <w:r>
              <w:rPr>
                <w:spacing w:val="-12"/>
              </w:rPr>
              <w:t>心律失常分析</w:t>
            </w:r>
            <w:r>
              <w:rPr>
                <w:rFonts w:hint="eastAsia"/>
                <w:spacing w:val="-12"/>
                <w:lang w:eastAsia="zh-CN"/>
              </w:rPr>
              <w:t>、</w:t>
            </w:r>
            <w:r>
              <w:rPr>
                <w:spacing w:val="-12"/>
              </w:rPr>
              <w:t>QT/QTc连续实时测量和对应报警</w:t>
            </w:r>
            <w:r>
              <w:rPr>
                <w:rFonts w:hint="eastAsia"/>
                <w:spacing w:val="-12"/>
                <w:lang w:eastAsia="zh-CN"/>
              </w:rPr>
              <w:t>功能</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697C8C">
            <w:pPr>
              <w:jc w:val="center"/>
              <w:rPr>
                <w:rFonts w:hint="eastAsia" w:ascii="宋体" w:hAnsi="宋体" w:eastAsia="宋体" w:cs="宋体"/>
                <w:color w:val="auto"/>
                <w:kern w:val="2"/>
                <w:sz w:val="21"/>
                <w:szCs w:val="21"/>
                <w:lang w:val="en-US" w:eastAsia="zh-CN" w:bidi="ar-SA"/>
              </w:rPr>
            </w:pPr>
          </w:p>
        </w:tc>
      </w:tr>
      <w:tr w14:paraId="765F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199EB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68999E2">
            <w:pPr>
              <w:pStyle w:val="26"/>
              <w:spacing w:before="257" w:line="219" w:lineRule="auto"/>
              <w:ind w:left="20" w:leftChars="0"/>
              <w:rPr>
                <w:rFonts w:hint="eastAsia" w:asciiTheme="minorEastAsia" w:hAnsiTheme="minorEastAsia" w:eastAsiaTheme="minorEastAsia" w:cstheme="minorEastAsia"/>
                <w:sz w:val="18"/>
                <w:szCs w:val="18"/>
                <w:lang w:val="en-US" w:eastAsia="zh-CN"/>
              </w:rPr>
            </w:pPr>
            <w:r>
              <w:t>心电算法通过AHA/MIT-BIH数据库验证，提供彩页或者其他有效证明材料</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D9B5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F21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B676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9E65763">
            <w:pPr>
              <w:pStyle w:val="26"/>
              <w:spacing w:before="52" w:line="273" w:lineRule="auto"/>
              <w:ind w:firstLine="59" w:firstLineChars="0"/>
              <w:rPr>
                <w:rFonts w:hint="eastAsia" w:asciiTheme="minorEastAsia" w:hAnsiTheme="minorEastAsia" w:eastAsiaTheme="minorEastAsia" w:cstheme="minorEastAsia"/>
                <w:kern w:val="2"/>
                <w:sz w:val="18"/>
                <w:szCs w:val="18"/>
                <w:lang w:val="en-US" w:eastAsia="zh-CN" w:bidi="ar-SA"/>
              </w:rPr>
            </w:pPr>
            <w:r>
              <w:rPr>
                <w:spacing w:val="-13"/>
              </w:rPr>
              <w:t>提供窗口支持心脏下壁</w:t>
            </w:r>
            <w:r>
              <w:rPr>
                <w:rFonts w:hint="eastAsia"/>
                <w:spacing w:val="-13"/>
                <w:lang w:eastAsia="zh-CN"/>
              </w:rPr>
              <w:t>、</w:t>
            </w:r>
            <w:r>
              <w:rPr>
                <w:spacing w:val="-13"/>
              </w:rPr>
              <w:t>侧壁和前壁对应多个ST片段的同屏实时显示，提供参考</w:t>
            </w:r>
            <w:r>
              <w:rPr>
                <w:rFonts w:hint="eastAsia"/>
                <w:spacing w:val="-13"/>
                <w:lang w:eastAsia="zh-CN"/>
              </w:rPr>
              <w:t>片段</w:t>
            </w:r>
            <w:r>
              <w:rPr>
                <w:spacing w:val="-1"/>
              </w:rPr>
              <w:t>和实时片段的对比查看</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1A8A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1E2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B184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01A6B74">
            <w:pPr>
              <w:pStyle w:val="26"/>
              <w:spacing w:before="48" w:line="273" w:lineRule="auto"/>
              <w:ind w:firstLine="19" w:firstLineChars="0"/>
              <w:rPr>
                <w:rFonts w:hint="eastAsia" w:asciiTheme="minorEastAsia" w:hAnsiTheme="minorEastAsia" w:eastAsiaTheme="minorEastAsia" w:cstheme="minorEastAsia"/>
                <w:sz w:val="18"/>
                <w:szCs w:val="18"/>
                <w:lang w:val="en-US" w:eastAsia="zh-CN"/>
              </w:rPr>
            </w:pPr>
            <w:r>
              <w:rPr>
                <w:spacing w:val="-11"/>
              </w:rPr>
              <w:t>支持房颤及室上性心律失常分析功能，如室上性心动过速</w:t>
            </w:r>
            <w:r>
              <w:rPr>
                <w:rFonts w:hint="eastAsia"/>
                <w:spacing w:val="-11"/>
                <w:lang w:eastAsia="zh-CN"/>
              </w:rPr>
              <w:t>、</w:t>
            </w:r>
            <w:r>
              <w:rPr>
                <w:spacing w:val="-11"/>
              </w:rPr>
              <w:t>SVCs/min等，标配</w:t>
            </w:r>
            <w:r>
              <w:rPr>
                <w:rFonts w:hint="eastAsia"/>
                <w:spacing w:val="-11"/>
                <w:lang w:eastAsia="zh-CN"/>
              </w:rPr>
              <w:t>支持</w:t>
            </w:r>
            <w:r>
              <w:rPr>
                <w:spacing w:val="-1"/>
              </w:rPr>
              <w:t>≥27种实时心律失常分析</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5E98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1F56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F29A5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0C8C889">
            <w:pPr>
              <w:pStyle w:val="26"/>
              <w:spacing w:before="229" w:line="219" w:lineRule="auto"/>
              <w:rPr>
                <w:rFonts w:hint="eastAsia" w:asciiTheme="minorEastAsia" w:hAnsiTheme="minorEastAsia" w:eastAsiaTheme="minorEastAsia" w:cstheme="minorEastAsia"/>
                <w:sz w:val="18"/>
                <w:szCs w:val="18"/>
                <w:lang w:val="en-US" w:eastAsia="zh-CN"/>
              </w:rPr>
            </w:pPr>
            <w:r>
              <w:t>QT和QTc实时监测参数测量范围：200～800 ms</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1711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6C25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1A3AF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2C96217">
            <w:pPr>
              <w:pStyle w:val="26"/>
              <w:spacing w:before="49" w:line="255" w:lineRule="auto"/>
              <w:ind w:firstLine="59" w:firstLineChars="0"/>
              <w:rPr>
                <w:rFonts w:hint="eastAsia" w:asciiTheme="minorEastAsia" w:hAnsiTheme="minorEastAsia" w:eastAsiaTheme="minorEastAsia" w:cstheme="minorEastAsia"/>
                <w:sz w:val="18"/>
                <w:szCs w:val="18"/>
                <w:lang w:val="en-US" w:eastAsia="zh-CN"/>
              </w:rPr>
            </w:pPr>
            <w:r>
              <w:rPr>
                <w:spacing w:val="-10"/>
              </w:rPr>
              <w:t>支持≥3通道心电波形同步分析，可进行多导心电分析，提供产品界面、手册截图</w:t>
            </w:r>
            <w:r>
              <w:rPr>
                <w:spacing w:val="-2"/>
              </w:rPr>
              <w:t>或技术</w:t>
            </w:r>
            <w:r>
              <w:rPr>
                <w:rFonts w:hint="eastAsia"/>
                <w:spacing w:val="-2"/>
                <w:lang w:eastAsia="zh-CN"/>
              </w:rPr>
              <w:t>专利证书</w:t>
            </w:r>
            <w:r>
              <w:rPr>
                <w:spacing w:val="-2"/>
              </w:rPr>
              <w:t>材料</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DDF4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7D7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026A3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D2D43E5">
            <w:pPr>
              <w:pStyle w:val="26"/>
              <w:spacing w:before="68" w:line="264" w:lineRule="auto"/>
              <w:ind w:firstLine="59" w:firstLineChars="0"/>
              <w:rPr>
                <w:rFonts w:hint="eastAsia" w:asciiTheme="minorEastAsia" w:hAnsiTheme="minorEastAsia" w:eastAsiaTheme="minorEastAsia" w:cstheme="minorEastAsia"/>
                <w:sz w:val="18"/>
                <w:szCs w:val="18"/>
                <w:lang w:val="en-US" w:eastAsia="zh-CN"/>
              </w:rPr>
            </w:pPr>
            <w:r>
              <w:rPr>
                <w:spacing w:val="-14"/>
              </w:rPr>
              <w:t>支持选配</w:t>
            </w:r>
            <w:r>
              <w:rPr>
                <w:spacing w:val="-13"/>
              </w:rPr>
              <w:t>升级</w:t>
            </w:r>
            <w:r>
              <w:rPr>
                <w:rFonts w:hint="eastAsia"/>
                <w:spacing w:val="-13"/>
                <w:lang w:eastAsia="zh-CN"/>
              </w:rPr>
              <w:t>，提供</w:t>
            </w:r>
            <w:r>
              <w:rPr>
                <w:spacing w:val="-13"/>
              </w:rPr>
              <w:t>过去24小时心电概览报告查看与打印，包括心率统计结果</w:t>
            </w:r>
            <w:r>
              <w:rPr>
                <w:rFonts w:hint="eastAsia"/>
                <w:spacing w:val="-13"/>
                <w:lang w:eastAsia="zh-CN"/>
              </w:rPr>
              <w:t>、心律失常</w:t>
            </w:r>
            <w:r>
              <w:t>统计结果</w:t>
            </w:r>
            <w:r>
              <w:rPr>
                <w:rFonts w:hint="eastAsia"/>
                <w:lang w:eastAsia="zh-CN"/>
              </w:rPr>
              <w:t>、</w:t>
            </w:r>
            <w:r>
              <w:t>ST统计和QT/QTc统计结果</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16F5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BA1F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6BED3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6B6BC78">
            <w:pPr>
              <w:pStyle w:val="26"/>
              <w:spacing w:before="236" w:line="214" w:lineRule="auto"/>
              <w:rPr>
                <w:rFonts w:hint="eastAsia" w:asciiTheme="minorEastAsia" w:hAnsiTheme="minorEastAsia" w:eastAsiaTheme="minorEastAsia" w:cstheme="minorEastAsia"/>
                <w:sz w:val="18"/>
                <w:szCs w:val="18"/>
                <w:lang w:val="en-US" w:eastAsia="zh-CN"/>
              </w:rPr>
            </w:pPr>
            <w:r>
              <w:t>提供呼吸测量，适用于成人、小儿和新生儿。呼吸测量范围：0</w:t>
            </w:r>
            <w:r>
              <w:rPr>
                <w:spacing w:val="-1"/>
              </w:rPr>
              <w:t>-200 rpm</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B233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5619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67B8E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DAB4821">
            <w:pPr>
              <w:pStyle w:val="26"/>
              <w:spacing w:before="75" w:line="261" w:lineRule="auto"/>
              <w:ind w:right="2" w:rightChars="0" w:firstLine="49" w:firstLineChars="0"/>
              <w:rPr>
                <w:rFonts w:hint="eastAsia" w:asciiTheme="minorEastAsia" w:hAnsiTheme="minorEastAsia" w:eastAsiaTheme="minorEastAsia" w:cstheme="minorEastAsia"/>
                <w:sz w:val="18"/>
                <w:szCs w:val="18"/>
                <w:lang w:val="en-US" w:eastAsia="zh-CN"/>
              </w:rPr>
            </w:pPr>
            <w:r>
              <w:rPr>
                <w:spacing w:val="-3"/>
              </w:rPr>
              <w:t>提供Sp02,PR和PI参数的实时监测，适用于成人</w:t>
            </w:r>
            <w:r>
              <w:rPr>
                <w:rFonts w:hint="eastAsia"/>
                <w:spacing w:val="-3"/>
                <w:lang w:eastAsia="zh-CN"/>
              </w:rPr>
              <w:t>、</w:t>
            </w:r>
            <w:r>
              <w:rPr>
                <w:spacing w:val="-4"/>
              </w:rPr>
              <w:t>小儿和新生儿。来自SpO2的PR</w:t>
            </w:r>
            <w:r>
              <w:rPr>
                <w:spacing w:val="-1"/>
              </w:rPr>
              <w:t>测量范围：20-300</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E861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1C7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4537A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A45599C">
            <w:pPr>
              <w:pStyle w:val="26"/>
              <w:spacing w:before="241" w:line="219" w:lineRule="auto"/>
              <w:rPr>
                <w:rFonts w:hint="eastAsia" w:asciiTheme="minorEastAsia" w:hAnsiTheme="minorEastAsia" w:eastAsiaTheme="minorEastAsia" w:cstheme="minorEastAsia"/>
                <w:sz w:val="18"/>
                <w:szCs w:val="18"/>
                <w:lang w:val="en-US" w:eastAsia="zh-CN"/>
              </w:rPr>
            </w:pPr>
            <w:r>
              <w:t>支持指套式血氧探头，IPX7防水等级，支持</w:t>
            </w:r>
            <w:r>
              <w:rPr>
                <w:spacing w:val="-1"/>
              </w:rPr>
              <w:t>液体浸泡消毒和清洁</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CDB4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3F81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85A36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3975227">
            <w:pPr>
              <w:pStyle w:val="26"/>
              <w:spacing w:before="62" w:line="267" w:lineRule="auto"/>
              <w:rPr>
                <w:rFonts w:hint="eastAsia" w:asciiTheme="minorEastAsia" w:hAnsiTheme="minorEastAsia" w:eastAsiaTheme="minorEastAsia" w:cstheme="minorEastAsia"/>
                <w:sz w:val="18"/>
                <w:szCs w:val="18"/>
                <w:lang w:val="en-US" w:eastAsia="zh-CN"/>
              </w:rPr>
            </w:pPr>
            <w:r>
              <w:rPr>
                <w:spacing w:val="-12"/>
              </w:rPr>
              <w:t>配置</w:t>
            </w:r>
            <w:r>
              <w:rPr>
                <w:spacing w:val="-11"/>
              </w:rPr>
              <w:t>无创血压测量，适用于成人，小儿和新生儿。无创血压成人</w:t>
            </w:r>
            <w:r>
              <w:rPr>
                <w:spacing w:val="-12"/>
              </w:rPr>
              <w:t>测量范围：收缩</w:t>
            </w:r>
            <w:r>
              <w:rPr>
                <w:spacing w:val="-10"/>
              </w:rPr>
              <w:t>压</w:t>
            </w:r>
            <w:r>
              <w:rPr>
                <w:spacing w:val="-2"/>
              </w:rPr>
              <w:t>25~290mmH</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A94D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5FDE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01948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82E1739">
            <w:pPr>
              <w:pStyle w:val="26"/>
              <w:spacing w:before="61" w:line="263" w:lineRule="auto"/>
              <w:ind w:firstLine="29" w:firstLineChars="0"/>
              <w:rPr>
                <w:rFonts w:hint="eastAsia" w:asciiTheme="minorEastAsia" w:hAnsiTheme="minorEastAsia" w:eastAsiaTheme="minorEastAsia" w:cstheme="minorEastAsia"/>
                <w:sz w:val="18"/>
                <w:szCs w:val="18"/>
                <w:lang w:val="en-US" w:eastAsia="zh-CN"/>
              </w:rPr>
            </w:pPr>
            <w:r>
              <w:rPr>
                <w:spacing w:val="-9"/>
              </w:rPr>
              <w:t>提供手动</w:t>
            </w:r>
            <w:r>
              <w:rPr>
                <w:rFonts w:hint="eastAsia"/>
                <w:spacing w:val="-9"/>
                <w:lang w:eastAsia="zh-CN"/>
              </w:rPr>
              <w:t>、</w:t>
            </w:r>
            <w:r>
              <w:rPr>
                <w:spacing w:val="-9"/>
              </w:rPr>
              <w:t>自动</w:t>
            </w:r>
            <w:r>
              <w:rPr>
                <w:rFonts w:hint="eastAsia"/>
                <w:spacing w:val="-9"/>
                <w:lang w:eastAsia="zh-CN"/>
              </w:rPr>
              <w:t>、</w:t>
            </w:r>
            <w:r>
              <w:rPr>
                <w:spacing w:val="-9"/>
              </w:rPr>
              <w:t>连续、序列和整点5种测量模式，并提供24小时动态血压统计</w:t>
            </w:r>
            <w:r>
              <w:rPr>
                <w:rFonts w:hint="eastAsia"/>
                <w:spacing w:val="-9"/>
                <w:lang w:eastAsia="zh-CN"/>
              </w:rPr>
              <w:t>结果</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F14A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129C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A6B30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A5FEB91">
            <w:pPr>
              <w:pStyle w:val="26"/>
              <w:spacing w:before="242" w:line="219" w:lineRule="auto"/>
              <w:rPr>
                <w:rFonts w:hint="eastAsia" w:asciiTheme="minorEastAsia" w:hAnsiTheme="minorEastAsia" w:eastAsiaTheme="minorEastAsia" w:cstheme="minorEastAsia"/>
                <w:sz w:val="18"/>
                <w:szCs w:val="18"/>
                <w:lang w:val="en-US" w:eastAsia="zh-CN"/>
              </w:rPr>
            </w:pPr>
            <w:r>
              <w:rPr>
                <w:spacing w:val="1"/>
              </w:rPr>
              <w:t>提供双通道体温和温差参数的监测，并可根据需要更改体</w:t>
            </w:r>
            <w:r>
              <w:t>温通道</w:t>
            </w:r>
            <w:r>
              <w:rPr>
                <w:rFonts w:hint="eastAsia"/>
                <w:lang w:eastAsia="zh-CN"/>
              </w:rPr>
              <w:t>名称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9EA1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EC3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3B98F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0959405">
            <w:pPr>
              <w:pStyle w:val="26"/>
              <w:spacing w:before="70" w:line="259" w:lineRule="auto"/>
              <w:ind w:firstLine="19" w:firstLineChars="0"/>
              <w:rPr>
                <w:rFonts w:hint="eastAsia" w:ascii="微软雅黑" w:hAnsi="微软雅黑" w:eastAsia="微软雅黑" w:cs="微软雅黑"/>
                <w:color w:val="000000"/>
                <w:kern w:val="0"/>
                <w:szCs w:val="21"/>
                <w:lang w:bidi="ar"/>
              </w:rPr>
            </w:pPr>
            <w:r>
              <w:rPr>
                <w:spacing w:val="-8"/>
              </w:rPr>
              <w:t>可选配升级多达4通道有创压监测，动脉压监测时支</w:t>
            </w:r>
            <w:r>
              <w:rPr>
                <w:spacing w:val="-9"/>
              </w:rPr>
              <w:t>持同步监测PPV</w:t>
            </w:r>
            <w:r>
              <w:rPr>
                <w:rFonts w:hint="eastAsia"/>
                <w:spacing w:val="-9"/>
                <w:lang w:eastAsia="zh-CN"/>
              </w:rPr>
              <w:t>，</w:t>
            </w:r>
            <w:r>
              <w:rPr>
                <w:spacing w:val="-9"/>
              </w:rPr>
              <w:t>适用于成人</w:t>
            </w:r>
            <w:r>
              <w:rPr>
                <w:rFonts w:hint="eastAsia"/>
                <w:spacing w:val="-9"/>
                <w:lang w:eastAsia="zh-CN"/>
              </w:rPr>
              <w:t>、</w:t>
            </w:r>
            <w:r>
              <w:rPr>
                <w:spacing w:val="-3"/>
              </w:rPr>
              <w:t>小儿和新生儿，通过国家三类注册认证</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EEBF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6B46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0A21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5FC768E">
            <w:pPr>
              <w:pStyle w:val="26"/>
              <w:spacing w:before="64" w:line="266" w:lineRule="auto"/>
              <w:rPr>
                <w:rFonts w:hint="eastAsia" w:ascii="微软雅黑" w:hAnsi="微软雅黑" w:eastAsia="微软雅黑" w:cs="微软雅黑"/>
                <w:color w:val="000000"/>
                <w:kern w:val="0"/>
                <w:szCs w:val="21"/>
                <w:lang w:bidi="ar"/>
              </w:rPr>
            </w:pPr>
            <w:r>
              <w:rPr>
                <w:spacing w:val="-5"/>
              </w:rPr>
              <w:t>支持升级主流、旁流EtCO2监测模块，旁流EtCO2监测模块支持升级顺磁氧</w:t>
            </w:r>
            <w:r>
              <w:rPr>
                <w:rFonts w:hint="eastAsia"/>
                <w:spacing w:val="-5"/>
                <w:lang w:eastAsia="zh-CN"/>
              </w:rPr>
              <w:t>监测技术</w:t>
            </w:r>
            <w:r>
              <w:rPr>
                <w:spacing w:val="-1"/>
              </w:rPr>
              <w:t>进行氧气监测，水槽要求易用快速更换</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DF78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0794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075D1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A42745B">
            <w:pPr>
              <w:pStyle w:val="26"/>
              <w:spacing w:before="38" w:line="264" w:lineRule="auto"/>
              <w:ind w:firstLine="29" w:firstLineChars="0"/>
              <w:jc w:val="both"/>
              <w:rPr>
                <w:rFonts w:hint="eastAsia" w:ascii="微软雅黑" w:hAnsi="微软雅黑" w:eastAsia="微软雅黑" w:cs="微软雅黑"/>
                <w:color w:val="000000"/>
                <w:kern w:val="0"/>
                <w:szCs w:val="21"/>
                <w:lang w:bidi="ar"/>
              </w:rPr>
            </w:pPr>
            <w:r>
              <w:rPr>
                <w:spacing w:val="-12"/>
              </w:rPr>
              <w:t>提供目标监测界面，能够显示ECG,Sp02,IBP,CO2等多种参数测量值和波形；目标</w:t>
            </w:r>
            <w:r>
              <w:rPr>
                <w:rFonts w:hint="eastAsia"/>
                <w:spacing w:val="-12"/>
                <w:lang w:eastAsia="zh-CN"/>
              </w:rPr>
              <w:t>监测</w:t>
            </w:r>
            <w:r>
              <w:rPr>
                <w:spacing w:val="-11"/>
              </w:rPr>
              <w:t>界面至少包括目标参数区、参数列表区、目标参数统计区、目</w:t>
            </w:r>
            <w:r>
              <w:rPr>
                <w:spacing w:val="-12"/>
              </w:rPr>
              <w:t>标参数趋势区等，</w:t>
            </w:r>
            <w:r>
              <w:rPr>
                <w:spacing w:val="-2"/>
              </w:rPr>
              <w:t>目标参数统计区与目标参数趋势区相互联动</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D4C9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D0C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1985B8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65A40BE">
            <w:pPr>
              <w:pStyle w:val="26"/>
              <w:spacing w:before="64" w:line="270" w:lineRule="auto"/>
              <w:ind w:firstLine="9" w:firstLineChars="0"/>
              <w:rPr>
                <w:rFonts w:hint="eastAsia" w:ascii="微软雅黑" w:hAnsi="微软雅黑" w:eastAsia="微软雅黑" w:cs="微软雅黑"/>
                <w:color w:val="000000"/>
                <w:kern w:val="0"/>
                <w:szCs w:val="21"/>
                <w:lang w:bidi="ar"/>
              </w:rPr>
            </w:pPr>
            <w:r>
              <w:rPr>
                <w:spacing w:val="-17"/>
              </w:rPr>
              <w:t>支持所有监测参数报警限一键自动设置功能，满足医护团队快速管理患者报警需求，</w:t>
            </w:r>
            <w:r>
              <w:rPr>
                <w:spacing w:val="-2"/>
              </w:rPr>
              <w:t>产品用户手册提供报警限自动设置规则</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C4D2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771D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CA88A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BCA6795">
            <w:pPr>
              <w:pStyle w:val="26"/>
              <w:spacing w:before="246" w:line="219" w:lineRule="auto"/>
              <w:rPr>
                <w:rFonts w:hint="eastAsia" w:ascii="微软雅黑" w:hAnsi="微软雅黑" w:eastAsia="微软雅黑" w:cs="微软雅黑"/>
                <w:color w:val="000000"/>
                <w:kern w:val="0"/>
                <w:szCs w:val="21"/>
                <w:lang w:bidi="ar"/>
              </w:rPr>
            </w:pPr>
            <w:r>
              <w:t>具有图形化技术报警指示功能，帮助医护团队快速识别报警来源</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43FC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3550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970B7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549CD5F">
            <w:pPr>
              <w:pStyle w:val="26"/>
              <w:spacing w:before="76" w:line="256" w:lineRule="auto"/>
              <w:rPr>
                <w:rFonts w:hint="eastAsia" w:ascii="微软雅黑" w:hAnsi="微软雅黑" w:eastAsia="微软雅黑" w:cs="微软雅黑"/>
                <w:color w:val="000000"/>
                <w:kern w:val="0"/>
                <w:szCs w:val="21"/>
                <w:lang w:bidi="ar"/>
              </w:rPr>
            </w:pPr>
            <w:r>
              <w:rPr>
                <w:spacing w:val="-5"/>
              </w:rPr>
              <w:t>支持≥1000条事件回顾。每条报警事件至少能够存储30秒三道相关波形</w:t>
            </w:r>
            <w:r>
              <w:rPr>
                <w:spacing w:val="-6"/>
              </w:rPr>
              <w:t>，以及</w:t>
            </w:r>
            <w:r>
              <w:rPr>
                <w:rFonts w:hint="eastAsia"/>
                <w:spacing w:val="-6"/>
                <w:lang w:eastAsia="zh-CN"/>
              </w:rPr>
              <w:t>报警</w:t>
            </w:r>
            <w:r>
              <w:rPr>
                <w:spacing w:val="-2"/>
              </w:rPr>
              <w:t>触发时所有测量参数值</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43CC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BB1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DB430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7AE05EB">
            <w:pPr>
              <w:pStyle w:val="26"/>
              <w:spacing w:before="77" w:line="269" w:lineRule="auto"/>
              <w:ind w:firstLine="9" w:firstLineChars="0"/>
              <w:rPr>
                <w:rFonts w:hint="eastAsia" w:ascii="微软雅黑" w:hAnsi="微软雅黑" w:eastAsia="微软雅黑" w:cs="微软雅黑"/>
                <w:color w:val="000000"/>
                <w:kern w:val="0"/>
                <w:szCs w:val="21"/>
                <w:lang w:bidi="ar"/>
              </w:rPr>
            </w:pPr>
            <w:r>
              <w:rPr>
                <w:spacing w:val="-10"/>
              </w:rPr>
              <w:t>支持≥1000组NIBP测量结果的存储与回顾。可选配升级为高容量存储卡，支持3000</w:t>
            </w:r>
            <w:r>
              <w:rPr>
                <w:spacing w:val="-2"/>
              </w:rPr>
              <w:t>组NIBP测量</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1D7D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C8D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ADB91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69D45D8">
            <w:pPr>
              <w:pStyle w:val="26"/>
              <w:spacing w:before="247" w:line="219" w:lineRule="auto"/>
              <w:rPr>
                <w:rFonts w:hint="eastAsia" w:ascii="微软雅黑" w:hAnsi="微软雅黑" w:eastAsia="微软雅黑" w:cs="微软雅黑"/>
                <w:color w:val="000000"/>
                <w:kern w:val="0"/>
                <w:szCs w:val="21"/>
                <w:lang w:bidi="ar"/>
              </w:rPr>
            </w:pPr>
            <w:r>
              <w:t>支持≥120小时</w:t>
            </w:r>
            <w:r>
              <w:rPr>
                <w:rFonts w:hint="eastAsia"/>
                <w:lang w:eastAsia="zh-CN"/>
              </w:rPr>
              <w:t>（</w:t>
            </w:r>
            <w:r>
              <w:t>分辨率1分钟</w:t>
            </w:r>
            <w:r>
              <w:rPr>
                <w:rFonts w:hint="eastAsia"/>
                <w:lang w:eastAsia="zh-CN"/>
              </w:rPr>
              <w:t>）</w:t>
            </w:r>
            <w:r>
              <w:t>ST模板存储与回顾</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3057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5064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13A63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458188C">
            <w:pPr>
              <w:pStyle w:val="26"/>
              <w:spacing w:before="52" w:line="273" w:lineRule="auto"/>
              <w:ind w:firstLine="59" w:firstLineChars="0"/>
              <w:rPr>
                <w:rFonts w:hint="eastAsia" w:ascii="微软雅黑" w:hAnsi="微软雅黑" w:eastAsia="微软雅黑" w:cs="微软雅黑"/>
                <w:color w:val="000000"/>
                <w:kern w:val="0"/>
                <w:szCs w:val="21"/>
                <w:lang w:bidi="ar"/>
              </w:rPr>
            </w:pPr>
            <w:r>
              <w:rPr>
                <w:spacing w:val="-13"/>
              </w:rPr>
              <w:t>提供窗口支持心脏下壁</w:t>
            </w:r>
            <w:r>
              <w:rPr>
                <w:rFonts w:hint="eastAsia"/>
                <w:spacing w:val="-13"/>
                <w:lang w:eastAsia="zh-CN"/>
              </w:rPr>
              <w:t>、</w:t>
            </w:r>
            <w:r>
              <w:rPr>
                <w:spacing w:val="-13"/>
              </w:rPr>
              <w:t>侧壁和前壁对应多个ST片段的同屏实时显示，提供参考</w:t>
            </w:r>
            <w:r>
              <w:rPr>
                <w:rFonts w:hint="eastAsia"/>
                <w:spacing w:val="-13"/>
                <w:lang w:eastAsia="zh-CN"/>
              </w:rPr>
              <w:t>片段</w:t>
            </w:r>
            <w:r>
              <w:rPr>
                <w:spacing w:val="-1"/>
              </w:rPr>
              <w:t>和实时片段的对比查看</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16B5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0169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5AFAD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98F8477">
            <w:pPr>
              <w:pStyle w:val="26"/>
              <w:spacing w:before="48" w:line="273" w:lineRule="auto"/>
              <w:ind w:firstLine="19" w:firstLineChars="0"/>
              <w:rPr>
                <w:rFonts w:hint="eastAsia" w:ascii="微软雅黑" w:hAnsi="微软雅黑" w:eastAsia="微软雅黑" w:cs="微软雅黑"/>
                <w:color w:val="000000"/>
                <w:kern w:val="0"/>
                <w:szCs w:val="21"/>
                <w:lang w:bidi="ar"/>
              </w:rPr>
            </w:pPr>
            <w:r>
              <w:rPr>
                <w:spacing w:val="-11"/>
              </w:rPr>
              <w:t>支持房颤及室上性心律失常分析功能，如室上性心动过速</w:t>
            </w:r>
            <w:r>
              <w:rPr>
                <w:rFonts w:hint="eastAsia"/>
                <w:spacing w:val="-11"/>
                <w:lang w:eastAsia="zh-CN"/>
              </w:rPr>
              <w:t>、</w:t>
            </w:r>
            <w:r>
              <w:rPr>
                <w:spacing w:val="-11"/>
              </w:rPr>
              <w:t>SVCs/min等，标配</w:t>
            </w:r>
            <w:r>
              <w:rPr>
                <w:rFonts w:hint="eastAsia"/>
                <w:spacing w:val="-11"/>
                <w:lang w:eastAsia="zh-CN"/>
              </w:rPr>
              <w:t>支持</w:t>
            </w:r>
            <w:r>
              <w:rPr>
                <w:spacing w:val="-1"/>
              </w:rPr>
              <w:t>≥27种实时心律失常分析</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AA61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1127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3A9CD9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A786FA6">
            <w:pPr>
              <w:pStyle w:val="26"/>
              <w:spacing w:before="229" w:line="219" w:lineRule="auto"/>
              <w:rPr>
                <w:rFonts w:hint="eastAsia" w:ascii="微软雅黑" w:hAnsi="微软雅黑" w:eastAsia="微软雅黑" w:cs="微软雅黑"/>
                <w:color w:val="000000"/>
                <w:kern w:val="0"/>
                <w:szCs w:val="21"/>
                <w:lang w:bidi="ar"/>
              </w:rPr>
            </w:pPr>
            <w:r>
              <w:t>QT和QTc实时监测参数测量范围：200～800 ms</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E670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1317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729ECD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C928326">
            <w:pPr>
              <w:pStyle w:val="26"/>
              <w:spacing w:before="49" w:line="255" w:lineRule="auto"/>
              <w:ind w:firstLine="59" w:firstLineChars="0"/>
              <w:rPr>
                <w:rFonts w:hint="eastAsia" w:ascii="微软雅黑" w:hAnsi="微软雅黑" w:eastAsia="微软雅黑" w:cs="微软雅黑"/>
                <w:color w:val="000000"/>
                <w:kern w:val="0"/>
                <w:szCs w:val="21"/>
                <w:lang w:bidi="ar"/>
              </w:rPr>
            </w:pPr>
            <w:r>
              <w:rPr>
                <w:spacing w:val="-10"/>
              </w:rPr>
              <w:t>支持≥3通道心电波形同步分析，可进行多导心电分析，提供产品界面、手册截图</w:t>
            </w:r>
            <w:r>
              <w:rPr>
                <w:spacing w:val="-2"/>
              </w:rPr>
              <w:t>或技术</w:t>
            </w:r>
            <w:r>
              <w:rPr>
                <w:rFonts w:hint="eastAsia"/>
                <w:spacing w:val="-2"/>
                <w:lang w:eastAsia="zh-CN"/>
              </w:rPr>
              <w:t>专利证书</w:t>
            </w:r>
            <w:r>
              <w:rPr>
                <w:spacing w:val="-2"/>
              </w:rPr>
              <w:t>材料</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42C3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6E5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29B5D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18D5BC0">
            <w:pPr>
              <w:pStyle w:val="26"/>
              <w:spacing w:before="68" w:line="264" w:lineRule="auto"/>
              <w:ind w:firstLine="59" w:firstLineChars="0"/>
              <w:rPr>
                <w:rFonts w:hint="eastAsia" w:ascii="微软雅黑" w:hAnsi="微软雅黑" w:eastAsia="微软雅黑" w:cs="微软雅黑"/>
                <w:color w:val="000000"/>
                <w:kern w:val="0"/>
                <w:szCs w:val="21"/>
                <w:lang w:bidi="ar"/>
              </w:rPr>
            </w:pPr>
            <w:r>
              <w:rPr>
                <w:spacing w:val="-14"/>
              </w:rPr>
              <w:t>支持选配</w:t>
            </w:r>
            <w:r>
              <w:rPr>
                <w:spacing w:val="-13"/>
              </w:rPr>
              <w:t>升级</w:t>
            </w:r>
            <w:r>
              <w:rPr>
                <w:rFonts w:hint="eastAsia"/>
                <w:spacing w:val="-13"/>
                <w:lang w:eastAsia="zh-CN"/>
              </w:rPr>
              <w:t>，提供</w:t>
            </w:r>
            <w:r>
              <w:rPr>
                <w:spacing w:val="-13"/>
              </w:rPr>
              <w:t>过去24小时心电概览报告查看与打印，包括心率统计结果</w:t>
            </w:r>
            <w:r>
              <w:rPr>
                <w:rFonts w:hint="eastAsia"/>
                <w:spacing w:val="-13"/>
                <w:lang w:eastAsia="zh-CN"/>
              </w:rPr>
              <w:t>、心律失常</w:t>
            </w:r>
            <w:r>
              <w:t>统计结果</w:t>
            </w:r>
            <w:r>
              <w:rPr>
                <w:rFonts w:hint="eastAsia"/>
                <w:lang w:eastAsia="zh-CN"/>
              </w:rPr>
              <w:t>、</w:t>
            </w:r>
            <w:r>
              <w:t>ST统计和QT/QTc统计结果</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F754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0960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4FDC5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13C3982">
            <w:pPr>
              <w:pStyle w:val="26"/>
              <w:spacing w:before="83" w:line="238" w:lineRule="auto"/>
              <w:ind w:left="30" w:leftChars="0" w:firstLine="69" w:firstLineChars="0"/>
              <w:rPr>
                <w:rFonts w:hint="eastAsia" w:ascii="微软雅黑" w:hAnsi="微软雅黑" w:eastAsia="微软雅黑" w:cs="微软雅黑"/>
                <w:color w:val="000000"/>
                <w:kern w:val="0"/>
                <w:szCs w:val="21"/>
                <w:lang w:bidi="ar"/>
              </w:rPr>
            </w:pPr>
            <w:r>
              <w:rPr>
                <w:spacing w:val="-8"/>
              </w:rPr>
              <w:t>具有报警升级功能，当参数报警经过一定的时间未被处理或伴发了其他报警，就会</w:t>
            </w:r>
            <w:r>
              <w:rPr>
                <w:spacing w:val="-1"/>
              </w:rPr>
              <w:t>升级到更高一个级别，提供产品手册截图等证明资料</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3DC5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0EEBF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1FF11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00AA08E">
            <w:pPr>
              <w:pStyle w:val="26"/>
              <w:spacing w:before="57" w:line="260" w:lineRule="auto"/>
              <w:ind w:left="30" w:leftChars="0" w:firstLine="90" w:firstLineChars="0"/>
              <w:rPr>
                <w:rFonts w:hint="eastAsia" w:ascii="微软雅黑" w:hAnsi="微软雅黑" w:eastAsia="微软雅黑" w:cs="微软雅黑"/>
                <w:color w:val="000000"/>
                <w:kern w:val="0"/>
                <w:szCs w:val="21"/>
                <w:lang w:bidi="ar"/>
              </w:rPr>
            </w:pPr>
            <w:r>
              <w:rPr>
                <w:spacing w:val="-8"/>
              </w:rPr>
              <w:t>具有特殊报警音，当监护仪在病人发生致命性参数报警时，发</w:t>
            </w:r>
            <w:r>
              <w:rPr>
                <w:spacing w:val="-9"/>
              </w:rPr>
              <w:t>出特殊的报警</w:t>
            </w:r>
            <w:r>
              <w:rPr>
                <w:rFonts w:hint="eastAsia"/>
                <w:spacing w:val="-9"/>
                <w:lang w:eastAsia="zh-CN"/>
              </w:rPr>
              <w:t>音</w:t>
            </w:r>
            <w:r>
              <w:rPr>
                <w:spacing w:val="-1"/>
              </w:rPr>
              <w:t>提示病人处于危急状态，提供产品手册截图等证明资料</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1CA0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77B6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87C6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E1E6792">
            <w:pPr>
              <w:pStyle w:val="26"/>
              <w:spacing w:before="53" w:line="258" w:lineRule="auto"/>
              <w:ind w:left="30" w:leftChars="0" w:right="48" w:rightChars="0" w:firstLine="69" w:firstLineChars="0"/>
              <w:rPr>
                <w:rFonts w:hint="eastAsia" w:ascii="微软雅黑" w:hAnsi="微软雅黑" w:eastAsia="微软雅黑" w:cs="微软雅黑"/>
                <w:color w:val="000000"/>
                <w:kern w:val="0"/>
                <w:szCs w:val="21"/>
                <w:lang w:bidi="ar"/>
              </w:rPr>
            </w:pPr>
            <w:r>
              <w:t>支持根据病人的参数趋势变化，可自动推送HR/PR、Sp02</w:t>
            </w:r>
            <w:r>
              <w:rPr>
                <w:spacing w:val="-1"/>
              </w:rPr>
              <w:t>、RR等参数的</w:t>
            </w:r>
            <w:r>
              <w:rPr>
                <w:rFonts w:hint="eastAsia"/>
                <w:spacing w:val="-1"/>
                <w:lang w:eastAsia="zh-CN"/>
              </w:rPr>
              <w:t>报警建议</w:t>
            </w:r>
            <w:r>
              <w:rPr>
                <w:spacing w:val="-1"/>
              </w:rPr>
              <w:t>，提供产品界面或产品手册截图等证明资料</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7DAF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30AE0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19C51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7BB117A">
            <w:pPr>
              <w:pStyle w:val="26"/>
              <w:spacing w:before="50" w:line="247" w:lineRule="auto"/>
              <w:ind w:left="30" w:leftChars="0" w:firstLine="49" w:firstLineChars="0"/>
              <w:rPr>
                <w:rFonts w:hint="eastAsia" w:ascii="微软雅黑" w:hAnsi="微软雅黑" w:eastAsia="微软雅黑" w:cs="微软雅黑"/>
                <w:color w:val="000000"/>
                <w:kern w:val="0"/>
                <w:szCs w:val="21"/>
                <w:lang w:bidi="ar"/>
              </w:rPr>
            </w:pPr>
            <w:r>
              <w:rPr>
                <w:spacing w:val="-7"/>
              </w:rPr>
              <w:t>具备参数组合报警功能，可对患者</w:t>
            </w:r>
            <w:r>
              <w:rPr>
                <w:rFonts w:hint="eastAsia"/>
                <w:spacing w:val="-7"/>
                <w:lang w:eastAsia="zh-CN"/>
              </w:rPr>
              <w:t>多个同时</w:t>
            </w:r>
            <w:r>
              <w:rPr>
                <w:spacing w:val="-7"/>
              </w:rPr>
              <w:t>参数变化给出统一报警提示</w:t>
            </w:r>
            <w:r>
              <w:rPr>
                <w:spacing w:val="-8"/>
              </w:rPr>
              <w:t>，更好地</w:t>
            </w:r>
            <w:r>
              <w:rPr>
                <w:rFonts w:hint="eastAsia"/>
                <w:spacing w:val="-8"/>
                <w:lang w:eastAsia="zh-CN"/>
              </w:rPr>
              <w:t>反映</w:t>
            </w:r>
            <w:r>
              <w:t>病人状态，提供≥10个预设组合报警，并允许自定义≥10个组合报警</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CE77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DC6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9CA7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7712CE8">
            <w:pPr>
              <w:pStyle w:val="26"/>
              <w:spacing w:before="218" w:line="218" w:lineRule="auto"/>
              <w:ind w:left="30" w:leftChars="0"/>
              <w:rPr>
                <w:rFonts w:hint="eastAsia" w:ascii="微软雅黑" w:hAnsi="微软雅黑" w:eastAsia="微软雅黑" w:cs="微软雅黑"/>
                <w:color w:val="000000"/>
                <w:kern w:val="0"/>
                <w:szCs w:val="21"/>
                <w:lang w:bidi="ar"/>
              </w:rPr>
            </w:pPr>
            <w:r>
              <w:t>支持RJ45接口进行有线网络通信，和除颤监护仪一起</w:t>
            </w:r>
            <w:r>
              <w:rPr>
                <w:spacing w:val="-1"/>
              </w:rPr>
              <w:t>联网通信</w:t>
            </w:r>
            <w:r>
              <w:rPr>
                <w:rFonts w:hint="eastAsia"/>
                <w:spacing w:val="-1"/>
                <w:lang w:eastAsia="zh-CN"/>
              </w:rPr>
              <w:t>至</w:t>
            </w:r>
            <w:r>
              <w:rPr>
                <w:spacing w:val="-1"/>
              </w:rPr>
              <w:t>中心监护系统</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D106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120E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DE897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F440520">
            <w:pPr>
              <w:pStyle w:val="26"/>
              <w:spacing w:before="22" w:line="254" w:lineRule="auto"/>
              <w:ind w:left="30" w:leftChars="0" w:right="94" w:rightChars="0"/>
              <w:jc w:val="both"/>
              <w:rPr>
                <w:rFonts w:hint="eastAsia" w:ascii="微软雅黑" w:hAnsi="微软雅黑" w:eastAsia="微软雅黑" w:cs="微软雅黑"/>
                <w:color w:val="000000"/>
                <w:kern w:val="0"/>
                <w:szCs w:val="21"/>
                <w:lang w:bidi="ar"/>
              </w:rPr>
            </w:pPr>
            <w:r>
              <w:t>配置临床评分系统，包括MEWS</w:t>
            </w:r>
            <w:r>
              <w:rPr>
                <w:rFonts w:hint="eastAsia"/>
                <w:lang w:eastAsia="zh-CN"/>
              </w:rPr>
              <w:t>（</w:t>
            </w:r>
            <w:r>
              <w:t>改良早期预警评分</w:t>
            </w:r>
            <w:r>
              <w:rPr>
                <w:rFonts w:hint="eastAsia"/>
                <w:lang w:eastAsia="zh-CN"/>
              </w:rPr>
              <w:t>）</w:t>
            </w:r>
            <w:r>
              <w:t>、NEWS</w:t>
            </w:r>
            <w:r>
              <w:rPr>
                <w:rFonts w:hint="eastAsia"/>
                <w:lang w:eastAsia="zh-CN"/>
              </w:rPr>
              <w:t>（</w:t>
            </w:r>
            <w:r>
              <w:t>英国早期预警评分</w:t>
            </w:r>
            <w:r>
              <w:rPr>
                <w:rFonts w:hint="eastAsia"/>
                <w:lang w:eastAsia="zh-CN"/>
              </w:rPr>
              <w:t>系统）</w:t>
            </w:r>
            <w:r>
              <w:t>、NEWS2</w:t>
            </w:r>
            <w:r>
              <w:rPr>
                <w:rFonts w:hint="eastAsia"/>
                <w:lang w:eastAsia="zh-CN"/>
              </w:rPr>
              <w:t>（</w:t>
            </w:r>
            <w:r>
              <w:t>英国早期预警评分系统2</w:t>
            </w:r>
            <w:r>
              <w:rPr>
                <w:rFonts w:hint="eastAsia"/>
                <w:lang w:eastAsia="zh-CN"/>
              </w:rPr>
              <w:t>），</w:t>
            </w:r>
            <w:r>
              <w:t>可支持定时自动EWS评分功能</w:t>
            </w:r>
            <w:r>
              <w:rPr>
                <w:spacing w:val="-1"/>
              </w:rPr>
              <w:t>，支持动态刷新EWS和EWS报警</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3E2E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5E03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D2144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8C12906">
            <w:pPr>
              <w:pStyle w:val="26"/>
              <w:spacing w:before="52" w:line="267" w:lineRule="auto"/>
              <w:ind w:left="30" w:leftChars="0"/>
              <w:rPr>
                <w:rFonts w:hint="eastAsia" w:ascii="微软雅黑" w:hAnsi="微软雅黑" w:eastAsia="微软雅黑" w:cs="微软雅黑"/>
                <w:color w:val="000000"/>
                <w:kern w:val="0"/>
                <w:szCs w:val="21"/>
                <w:lang w:bidi="ar"/>
              </w:rPr>
            </w:pPr>
            <w:r>
              <w:rPr>
                <w:spacing w:val="-3"/>
              </w:rPr>
              <w:t>提供计时器功能，</w:t>
            </w:r>
            <w:r>
              <w:rPr>
                <w:rFonts w:hint="eastAsia"/>
                <w:spacing w:val="-3"/>
                <w:lang w:eastAsia="zh-CN"/>
              </w:rPr>
              <w:t>在界面区</w:t>
            </w:r>
            <w:r>
              <w:rPr>
                <w:spacing w:val="-3"/>
              </w:rPr>
              <w:t>提供设置≥4个计时器，每个计时器支持独立设置和计时</w:t>
            </w:r>
            <w:r>
              <w:t>功能，计时方向包括正计时和倒计时两种选择</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88B0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6D0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40E2D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859580B">
            <w:pPr>
              <w:pStyle w:val="26"/>
              <w:spacing w:before="232" w:line="219" w:lineRule="auto"/>
              <w:ind w:left="30" w:leftChars="0"/>
              <w:rPr>
                <w:rFonts w:hint="eastAsia" w:ascii="微软雅黑" w:hAnsi="微软雅黑" w:eastAsia="微软雅黑" w:cs="微软雅黑"/>
                <w:color w:val="000000"/>
                <w:kern w:val="0"/>
                <w:szCs w:val="21"/>
                <w:lang w:bidi="ar"/>
              </w:rPr>
            </w:pPr>
            <w:r>
              <w:rPr>
                <w:spacing w:val="-1"/>
              </w:rPr>
              <w:t>支持格拉斯哥昏迷评分</w:t>
            </w:r>
            <w:r>
              <w:rPr>
                <w:rFonts w:hint="eastAsia"/>
                <w:spacing w:val="-1"/>
                <w:lang w:eastAsia="zh-CN"/>
              </w:rPr>
              <w:t>（</w:t>
            </w:r>
            <w:r>
              <w:rPr>
                <w:spacing w:val="-1"/>
              </w:rPr>
              <w:t>GCS</w:t>
            </w:r>
            <w:r>
              <w:rPr>
                <w:rFonts w:hint="eastAsia"/>
                <w:spacing w:val="-1"/>
                <w:lang w:eastAsia="zh-CN"/>
              </w:rPr>
              <w:t>）</w:t>
            </w:r>
            <w:r>
              <w:rPr>
                <w:spacing w:val="-1"/>
              </w:rPr>
              <w:t>功能</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54AB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3E48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4442C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6AD93C6">
            <w:pPr>
              <w:pStyle w:val="26"/>
              <w:spacing w:before="43" w:line="275" w:lineRule="auto"/>
              <w:ind w:left="30" w:leftChars="0" w:firstLine="19" w:firstLineChars="0"/>
              <w:rPr>
                <w:rFonts w:hint="eastAsia" w:ascii="微软雅黑" w:hAnsi="微软雅黑" w:eastAsia="微软雅黑" w:cs="微软雅黑"/>
                <w:color w:val="000000"/>
                <w:kern w:val="0"/>
                <w:szCs w:val="21"/>
                <w:lang w:bidi="ar"/>
              </w:rPr>
            </w:pPr>
            <w:r>
              <w:rPr>
                <w:spacing w:val="-6"/>
              </w:rPr>
              <w:t>动态趋势界面可支持统计1</w:t>
            </w:r>
            <w:r>
              <w:rPr>
                <w:rFonts w:hint="eastAsia"/>
                <w:spacing w:val="-6"/>
                <w:lang w:eastAsia="zh-CN"/>
              </w:rPr>
              <w:t>—</w:t>
            </w:r>
            <w:r>
              <w:rPr>
                <w:spacing w:val="-6"/>
              </w:rPr>
              <w:t>24小时心律失常报警、参数超限报警信息，并对超限</w:t>
            </w:r>
            <w:r>
              <w:rPr>
                <w:rFonts w:hint="eastAsia"/>
                <w:spacing w:val="-6"/>
                <w:lang w:eastAsia="zh-CN"/>
              </w:rPr>
              <w:t>报警</w:t>
            </w:r>
            <w:r>
              <w:t>区间的波形进行高亮显示，帮助医护人员快速识别异常趋势信息</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D21D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6F8BB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F0AD8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8787CD7">
            <w:pPr>
              <w:pStyle w:val="26"/>
              <w:spacing w:before="232" w:line="219" w:lineRule="auto"/>
              <w:ind w:left="30" w:leftChars="0"/>
              <w:rPr>
                <w:rFonts w:hint="eastAsia" w:ascii="微软雅黑" w:hAnsi="微软雅黑" w:eastAsia="微软雅黑" w:cs="微软雅黑"/>
                <w:color w:val="000000"/>
                <w:kern w:val="0"/>
                <w:szCs w:val="21"/>
                <w:lang w:bidi="ar"/>
              </w:rPr>
            </w:pPr>
            <w:r>
              <w:rPr>
                <w:spacing w:val="-1"/>
              </w:rPr>
              <w:t>支持</w:t>
            </w:r>
            <w:r>
              <w:rPr>
                <w:rFonts w:hint="eastAsia"/>
                <w:spacing w:val="-1"/>
                <w:lang w:eastAsia="zh-CN"/>
              </w:rPr>
              <w:t>带有</w:t>
            </w:r>
            <w:r>
              <w:rPr>
                <w:spacing w:val="-1"/>
              </w:rPr>
              <w:t>ABD事件的呼吸氧合界面</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A21D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6052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BB4F4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57A0EBF">
            <w:pPr>
              <w:pStyle w:val="26"/>
              <w:spacing w:before="62" w:line="267" w:lineRule="auto"/>
              <w:ind w:left="29" w:leftChars="0" w:right="6" w:rightChars="0" w:hanging="19" w:firstLineChars="0"/>
              <w:rPr>
                <w:rFonts w:hint="eastAsia" w:ascii="微软雅黑" w:hAnsi="微软雅黑" w:eastAsia="微软雅黑" w:cs="微软雅黑"/>
                <w:color w:val="000000"/>
                <w:kern w:val="0"/>
                <w:szCs w:val="21"/>
                <w:lang w:bidi="ar"/>
              </w:rPr>
            </w:pPr>
            <w:r>
              <w:t>支持选配房颤概览功能，可显示当前病人持续30秒以上的房颤事件的统计信息和</w:t>
            </w:r>
            <w:r>
              <w:rPr>
                <w:spacing w:val="-1"/>
              </w:rPr>
              <w:t>生命体征参数趋势，提供产品界面或产品手册截图等证明资料</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91BC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171C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73825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3.39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89AB3E3">
            <w:pPr>
              <w:pStyle w:val="26"/>
              <w:spacing w:before="252" w:line="219" w:lineRule="auto"/>
              <w:ind w:left="30" w:leftChars="0"/>
              <w:rPr>
                <w:rFonts w:hint="eastAsia" w:ascii="微软雅黑" w:hAnsi="微软雅黑" w:eastAsia="微软雅黑" w:cs="微软雅黑"/>
                <w:color w:val="000000"/>
                <w:kern w:val="0"/>
                <w:szCs w:val="21"/>
                <w:lang w:bidi="ar"/>
              </w:rPr>
            </w:pPr>
            <w:r>
              <w:t>提供屏幕截图功能，将屏幕截图通过USB接口导出到U</w:t>
            </w:r>
            <w:r>
              <w:rPr>
                <w:spacing w:val="-1"/>
              </w:rPr>
              <w:t>盘</w:t>
            </w:r>
            <w:r>
              <w:rPr>
                <w:rFonts w:hint="eastAsia"/>
                <w:spacing w:val="-1"/>
                <w:lang w:eastAsia="zh-CN"/>
              </w:rPr>
              <w:t>，</w:t>
            </w:r>
            <w:r>
              <w:rPr>
                <w:spacing w:val="-1"/>
              </w:rPr>
              <w:t>提供手册证明材料</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A455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91A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BF959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7A19ACD">
            <w:pPr>
              <w:pStyle w:val="26"/>
              <w:spacing w:before="244" w:line="219" w:lineRule="auto"/>
              <w:ind w:left="30" w:leftChars="0"/>
              <w:rPr>
                <w:rFonts w:hint="eastAsia" w:ascii="微软雅黑" w:hAnsi="微软雅黑" w:eastAsia="微软雅黑" w:cs="微软雅黑"/>
                <w:color w:val="000000"/>
                <w:kern w:val="0"/>
                <w:szCs w:val="21"/>
                <w:lang w:bidi="ar"/>
              </w:rPr>
            </w:pPr>
            <w:r>
              <w:rPr>
                <w:spacing w:val="-1"/>
              </w:rPr>
              <w:t>产品通过</w:t>
            </w:r>
            <w:r>
              <w:rPr>
                <w:rFonts w:hint="eastAsia"/>
                <w:spacing w:val="-1"/>
                <w:lang w:eastAsia="zh-CN"/>
              </w:rPr>
              <w:t>国家三类注册</w:t>
            </w:r>
            <w:r>
              <w:rPr>
                <w:spacing w:val="-1"/>
              </w:rPr>
              <w:t>，具备FDA认证</w:t>
            </w:r>
            <w:r>
              <w:rPr>
                <w:rFonts w:hint="eastAsia"/>
                <w:spacing w:val="-1"/>
                <w:lang w:eastAsia="zh-CN"/>
              </w:rPr>
              <w:t>、</w:t>
            </w:r>
            <w:r>
              <w:rPr>
                <w:spacing w:val="-1"/>
              </w:rPr>
              <w:t>CE认证</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514E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04AA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41859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975E570">
            <w:pPr>
              <w:pStyle w:val="26"/>
              <w:spacing w:before="242" w:line="216" w:lineRule="auto"/>
              <w:ind w:left="30" w:leftChars="0"/>
              <w:rPr>
                <w:rFonts w:hint="eastAsia" w:ascii="微软雅黑" w:hAnsi="微软雅黑" w:eastAsia="微软雅黑" w:cs="微软雅黑"/>
                <w:color w:val="000000"/>
                <w:kern w:val="0"/>
                <w:szCs w:val="21"/>
                <w:lang w:bidi="ar"/>
              </w:rPr>
            </w:pPr>
            <w:r>
              <w:t>产品型号入选优秀国产医疗设备产品目录</w:t>
            </w:r>
            <w:r>
              <w:rPr>
                <w:rFonts w:hint="eastAsia"/>
                <w:lang w:eastAsia="zh-CN"/>
              </w:rPr>
              <w:t>（</w:t>
            </w:r>
            <w:r>
              <w:t>有效期</w:t>
            </w:r>
            <w:r>
              <w:rPr>
                <w:spacing w:val="-1"/>
              </w:rPr>
              <w:t>内</w:t>
            </w:r>
            <w:r>
              <w:rPr>
                <w:rFonts w:hint="eastAsia"/>
                <w:spacing w:val="-1"/>
                <w:lang w:eastAsia="zh-CN"/>
              </w:rPr>
              <w:t>），</w:t>
            </w:r>
            <w:r>
              <w:rPr>
                <w:spacing w:val="-1"/>
              </w:rPr>
              <w:t>提供证明材料</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B601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0DB54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AC4AF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3.42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7D21562">
            <w:pPr>
              <w:pStyle w:val="26"/>
              <w:spacing w:before="83" w:line="238" w:lineRule="auto"/>
              <w:ind w:left="30" w:leftChars="0" w:firstLine="69" w:firstLineChars="0"/>
              <w:rPr>
                <w:rFonts w:hint="eastAsia" w:ascii="微软雅黑" w:hAnsi="微软雅黑" w:eastAsia="微软雅黑" w:cs="微软雅黑"/>
                <w:color w:val="000000"/>
                <w:kern w:val="0"/>
                <w:szCs w:val="21"/>
                <w:lang w:bidi="ar"/>
              </w:rPr>
            </w:pPr>
            <w:r>
              <w:rPr>
                <w:spacing w:val="-8"/>
              </w:rPr>
              <w:t>具有报警升级功能，当参数报警经过一定的时间未被处理或伴发了其他报警，就会</w:t>
            </w:r>
            <w:r>
              <w:rPr>
                <w:spacing w:val="-1"/>
              </w:rPr>
              <w:t>升级到更高一个级别，提供产品手册截图等证明资料</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635F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4A1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772F8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2FAFB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9A8E4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DF5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4054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82B8C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（50）天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BBD6D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55B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B68FE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62DC7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3</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8BD26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56E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85F5F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24770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CAC40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4F1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2BD34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36739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2EAC2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CE6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C611E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E908B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24E6C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281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37AD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A28A1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7A79E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1AA1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7C9B9DA">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2B327D7">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4EFB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0C91600">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0CB4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549E4">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1E584">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6663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C99C01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7C5EE8E">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00699E2">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97A754D">
            <w:pPr>
              <w:jc w:val="center"/>
              <w:rPr>
                <w:rFonts w:hint="eastAsia" w:asciiTheme="minorEastAsia" w:hAnsiTheme="minorEastAsia" w:eastAsiaTheme="minorEastAsia" w:cstheme="minorEastAsia"/>
                <w:sz w:val="18"/>
                <w:szCs w:val="18"/>
              </w:rPr>
            </w:pPr>
          </w:p>
        </w:tc>
      </w:tr>
      <w:tr w14:paraId="450A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1CC94DB">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2E75A12">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7AA1AF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B12112E">
            <w:pPr>
              <w:jc w:val="center"/>
              <w:rPr>
                <w:rFonts w:hint="eastAsia" w:asciiTheme="minorEastAsia" w:hAnsiTheme="minorEastAsia" w:eastAsiaTheme="minorEastAsia" w:cstheme="minorEastAsia"/>
                <w:sz w:val="18"/>
                <w:szCs w:val="18"/>
              </w:rPr>
            </w:pPr>
          </w:p>
        </w:tc>
      </w:tr>
      <w:tr w14:paraId="4282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F00BBCA">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4C77528D">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A43C1BD">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7C9CCB0">
            <w:pPr>
              <w:jc w:val="center"/>
              <w:rPr>
                <w:rFonts w:hint="eastAsia" w:asciiTheme="minorEastAsia" w:hAnsiTheme="minorEastAsia" w:eastAsiaTheme="minorEastAsia" w:cstheme="minorEastAsia"/>
                <w:sz w:val="18"/>
                <w:szCs w:val="18"/>
              </w:rPr>
            </w:pPr>
          </w:p>
        </w:tc>
      </w:tr>
      <w:tr w14:paraId="33B1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D3AD845">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F1D42D1">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92B5A32">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D408A7E">
            <w:pPr>
              <w:jc w:val="center"/>
              <w:rPr>
                <w:rFonts w:hint="eastAsia" w:asciiTheme="minorEastAsia" w:hAnsiTheme="minorEastAsia" w:eastAsiaTheme="minorEastAsia" w:cstheme="minorEastAsia"/>
                <w:sz w:val="18"/>
                <w:szCs w:val="18"/>
              </w:rPr>
            </w:pPr>
          </w:p>
        </w:tc>
      </w:tr>
      <w:tr w14:paraId="0C89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F2A884E">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E6EFBF6">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8D68D0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E8E8E5F">
            <w:pPr>
              <w:jc w:val="center"/>
              <w:rPr>
                <w:rFonts w:hint="eastAsia" w:asciiTheme="minorEastAsia" w:hAnsiTheme="minorEastAsia" w:eastAsiaTheme="minorEastAsia" w:cstheme="minorEastAsia"/>
                <w:sz w:val="18"/>
                <w:szCs w:val="18"/>
              </w:rPr>
            </w:pPr>
          </w:p>
        </w:tc>
      </w:tr>
      <w:tr w14:paraId="73CA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EC27801">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5D3DCE35">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D084A08">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A5B4219">
            <w:pPr>
              <w:jc w:val="center"/>
              <w:rPr>
                <w:rFonts w:hint="eastAsia" w:asciiTheme="minorEastAsia" w:hAnsiTheme="minorEastAsia" w:eastAsiaTheme="minorEastAsia" w:cstheme="minorEastAsia"/>
                <w:sz w:val="18"/>
                <w:szCs w:val="18"/>
              </w:rPr>
            </w:pPr>
          </w:p>
        </w:tc>
      </w:tr>
    </w:tbl>
    <w:p w14:paraId="4A745DEA">
      <w:pPr>
        <w:jc w:val="center"/>
        <w:rPr>
          <w:rFonts w:hint="eastAsia" w:asciiTheme="minorEastAsia" w:hAnsiTheme="minorEastAsia" w:eastAsiaTheme="minorEastAsia" w:cstheme="minorEastAsia"/>
          <w:sz w:val="21"/>
          <w:szCs w:val="21"/>
        </w:rPr>
      </w:pPr>
    </w:p>
    <w:p w14:paraId="4E502DCA">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797C6F0F">
      <w:pPr>
        <w:outlineLvl w:val="0"/>
        <w:rPr>
          <w:rFonts w:hint="eastAsia" w:ascii="黑体" w:hAnsi="黑体" w:eastAsia="黑体"/>
          <w:b/>
          <w:sz w:val="36"/>
          <w:szCs w:val="36"/>
          <w:lang w:val="en-US" w:eastAsia="zh-CN"/>
        </w:rPr>
      </w:pPr>
    </w:p>
    <w:p w14:paraId="18A8D3E0">
      <w:pPr>
        <w:outlineLvl w:val="0"/>
        <w:rPr>
          <w:rFonts w:hint="eastAsia" w:ascii="黑体" w:hAnsi="黑体" w:eastAsia="黑体"/>
          <w:b/>
          <w:sz w:val="36"/>
          <w:szCs w:val="36"/>
          <w:lang w:val="en-US" w:eastAsia="zh-CN"/>
        </w:rPr>
      </w:pPr>
    </w:p>
    <w:p w14:paraId="4B33D4B9">
      <w:pPr>
        <w:outlineLvl w:val="0"/>
        <w:rPr>
          <w:rFonts w:hint="eastAsia" w:ascii="宋体" w:hAnsi="宋体"/>
          <w:bCs/>
          <w:sz w:val="28"/>
          <w:szCs w:val="24"/>
        </w:rPr>
      </w:pPr>
      <w:bookmarkStart w:id="60" w:name="_GoBack"/>
      <w:bookmarkEnd w:id="60"/>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8"/>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9"/>
              <w:spacing w:line="360" w:lineRule="auto"/>
              <w:jc w:val="center"/>
              <w:rPr>
                <w:rFonts w:hint="eastAsia" w:ascii="宋体" w:hAnsi="宋体"/>
                <w:bCs w:val="0"/>
                <w:spacing w:val="0"/>
                <w:kern w:val="2"/>
                <w:szCs w:val="24"/>
              </w:rPr>
            </w:pPr>
          </w:p>
        </w:tc>
        <w:tc>
          <w:tcPr>
            <w:tcW w:w="1712" w:type="dxa"/>
            <w:noWrap w:val="0"/>
            <w:vAlign w:val="top"/>
          </w:tcPr>
          <w:p w14:paraId="4C7E0B82">
            <w:pPr>
              <w:pStyle w:val="19"/>
              <w:spacing w:line="360" w:lineRule="auto"/>
              <w:jc w:val="center"/>
              <w:rPr>
                <w:rFonts w:hint="eastAsia" w:ascii="宋体" w:hAnsi="宋体"/>
                <w:bCs w:val="0"/>
                <w:spacing w:val="0"/>
                <w:kern w:val="2"/>
                <w:szCs w:val="24"/>
              </w:rPr>
            </w:pPr>
          </w:p>
        </w:tc>
        <w:tc>
          <w:tcPr>
            <w:tcW w:w="1712" w:type="dxa"/>
            <w:noWrap w:val="0"/>
            <w:vAlign w:val="top"/>
          </w:tcPr>
          <w:p w14:paraId="1F5537B2">
            <w:pPr>
              <w:pStyle w:val="19"/>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9"/>
              <w:spacing w:line="360" w:lineRule="auto"/>
              <w:jc w:val="center"/>
              <w:rPr>
                <w:rFonts w:hint="eastAsia" w:ascii="宋体" w:hAnsi="宋体"/>
                <w:bCs w:val="0"/>
                <w:spacing w:val="0"/>
                <w:kern w:val="2"/>
                <w:szCs w:val="24"/>
              </w:rPr>
            </w:pPr>
          </w:p>
        </w:tc>
        <w:tc>
          <w:tcPr>
            <w:tcW w:w="1231" w:type="dxa"/>
            <w:noWrap w:val="0"/>
            <w:vAlign w:val="top"/>
          </w:tcPr>
          <w:p w14:paraId="5613E89F">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9"/>
              <w:spacing w:line="360" w:lineRule="auto"/>
              <w:jc w:val="center"/>
              <w:rPr>
                <w:rFonts w:hint="eastAsia" w:ascii="宋体" w:hAnsi="宋体"/>
                <w:bCs w:val="0"/>
                <w:spacing w:val="0"/>
                <w:kern w:val="2"/>
                <w:szCs w:val="24"/>
              </w:rPr>
            </w:pPr>
          </w:p>
        </w:tc>
        <w:tc>
          <w:tcPr>
            <w:tcW w:w="1712" w:type="dxa"/>
            <w:noWrap w:val="0"/>
            <w:vAlign w:val="top"/>
          </w:tcPr>
          <w:p w14:paraId="33816190">
            <w:pPr>
              <w:pStyle w:val="19"/>
              <w:spacing w:line="360" w:lineRule="auto"/>
              <w:jc w:val="center"/>
              <w:rPr>
                <w:rFonts w:hint="eastAsia" w:ascii="宋体" w:hAnsi="宋体"/>
                <w:bCs w:val="0"/>
                <w:spacing w:val="0"/>
                <w:kern w:val="2"/>
                <w:szCs w:val="24"/>
              </w:rPr>
            </w:pPr>
          </w:p>
        </w:tc>
        <w:tc>
          <w:tcPr>
            <w:tcW w:w="1712" w:type="dxa"/>
            <w:noWrap w:val="0"/>
            <w:vAlign w:val="top"/>
          </w:tcPr>
          <w:p w14:paraId="2DF30877">
            <w:pPr>
              <w:pStyle w:val="19"/>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9"/>
              <w:spacing w:line="360" w:lineRule="auto"/>
              <w:jc w:val="center"/>
              <w:rPr>
                <w:rFonts w:hint="eastAsia" w:ascii="宋体" w:hAnsi="宋体"/>
                <w:bCs w:val="0"/>
                <w:spacing w:val="0"/>
                <w:kern w:val="2"/>
                <w:szCs w:val="24"/>
              </w:rPr>
            </w:pPr>
          </w:p>
        </w:tc>
        <w:tc>
          <w:tcPr>
            <w:tcW w:w="1231" w:type="dxa"/>
            <w:noWrap w:val="0"/>
            <w:vAlign w:val="top"/>
          </w:tcPr>
          <w:p w14:paraId="226F63DC">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9"/>
              <w:spacing w:line="360" w:lineRule="auto"/>
              <w:jc w:val="center"/>
              <w:rPr>
                <w:rFonts w:hint="eastAsia" w:ascii="宋体" w:hAnsi="宋体"/>
                <w:bCs w:val="0"/>
                <w:spacing w:val="0"/>
                <w:kern w:val="2"/>
                <w:szCs w:val="24"/>
              </w:rPr>
            </w:pPr>
          </w:p>
        </w:tc>
        <w:tc>
          <w:tcPr>
            <w:tcW w:w="1712" w:type="dxa"/>
            <w:noWrap w:val="0"/>
            <w:vAlign w:val="top"/>
          </w:tcPr>
          <w:p w14:paraId="5622B33E">
            <w:pPr>
              <w:pStyle w:val="19"/>
              <w:spacing w:line="360" w:lineRule="auto"/>
              <w:jc w:val="center"/>
              <w:rPr>
                <w:rFonts w:hint="eastAsia" w:ascii="宋体" w:hAnsi="宋体"/>
                <w:bCs w:val="0"/>
                <w:spacing w:val="0"/>
                <w:kern w:val="2"/>
                <w:szCs w:val="24"/>
              </w:rPr>
            </w:pPr>
          </w:p>
        </w:tc>
        <w:tc>
          <w:tcPr>
            <w:tcW w:w="1712" w:type="dxa"/>
            <w:noWrap w:val="0"/>
            <w:vAlign w:val="top"/>
          </w:tcPr>
          <w:p w14:paraId="3A4529BB">
            <w:pPr>
              <w:pStyle w:val="19"/>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9"/>
              <w:spacing w:line="360" w:lineRule="auto"/>
              <w:jc w:val="center"/>
              <w:rPr>
                <w:rFonts w:hint="eastAsia" w:ascii="宋体" w:hAnsi="宋体"/>
                <w:bCs w:val="0"/>
                <w:spacing w:val="0"/>
                <w:kern w:val="2"/>
                <w:szCs w:val="24"/>
              </w:rPr>
            </w:pPr>
          </w:p>
        </w:tc>
        <w:tc>
          <w:tcPr>
            <w:tcW w:w="1231" w:type="dxa"/>
            <w:noWrap w:val="0"/>
            <w:vAlign w:val="top"/>
          </w:tcPr>
          <w:p w14:paraId="3FA143FE">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9"/>
              <w:spacing w:line="360" w:lineRule="auto"/>
              <w:jc w:val="center"/>
              <w:rPr>
                <w:rFonts w:hint="eastAsia" w:ascii="宋体" w:hAnsi="宋体"/>
                <w:bCs w:val="0"/>
                <w:spacing w:val="0"/>
                <w:kern w:val="2"/>
                <w:szCs w:val="24"/>
              </w:rPr>
            </w:pPr>
          </w:p>
        </w:tc>
        <w:tc>
          <w:tcPr>
            <w:tcW w:w="1712" w:type="dxa"/>
            <w:noWrap w:val="0"/>
            <w:vAlign w:val="top"/>
          </w:tcPr>
          <w:p w14:paraId="0088F06F">
            <w:pPr>
              <w:pStyle w:val="19"/>
              <w:spacing w:line="360" w:lineRule="auto"/>
              <w:jc w:val="center"/>
              <w:rPr>
                <w:rFonts w:hint="eastAsia" w:ascii="宋体" w:hAnsi="宋体"/>
                <w:bCs w:val="0"/>
                <w:spacing w:val="0"/>
                <w:kern w:val="2"/>
                <w:szCs w:val="24"/>
              </w:rPr>
            </w:pPr>
          </w:p>
        </w:tc>
        <w:tc>
          <w:tcPr>
            <w:tcW w:w="1712" w:type="dxa"/>
            <w:noWrap w:val="0"/>
            <w:vAlign w:val="top"/>
          </w:tcPr>
          <w:p w14:paraId="12A56D92">
            <w:pPr>
              <w:pStyle w:val="19"/>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9"/>
              <w:spacing w:line="360" w:lineRule="auto"/>
              <w:jc w:val="center"/>
              <w:rPr>
                <w:rFonts w:hint="eastAsia" w:ascii="宋体" w:hAnsi="宋体"/>
                <w:bCs w:val="0"/>
                <w:spacing w:val="0"/>
                <w:kern w:val="2"/>
                <w:szCs w:val="24"/>
              </w:rPr>
            </w:pPr>
          </w:p>
        </w:tc>
        <w:tc>
          <w:tcPr>
            <w:tcW w:w="1712" w:type="dxa"/>
            <w:noWrap w:val="0"/>
            <w:vAlign w:val="top"/>
          </w:tcPr>
          <w:p w14:paraId="39AED065">
            <w:pPr>
              <w:pStyle w:val="19"/>
              <w:spacing w:line="360" w:lineRule="auto"/>
              <w:jc w:val="center"/>
              <w:rPr>
                <w:rFonts w:hint="eastAsia" w:ascii="宋体" w:hAnsi="宋体"/>
                <w:bCs w:val="0"/>
                <w:spacing w:val="0"/>
                <w:kern w:val="2"/>
                <w:szCs w:val="24"/>
              </w:rPr>
            </w:pPr>
          </w:p>
        </w:tc>
        <w:tc>
          <w:tcPr>
            <w:tcW w:w="1712" w:type="dxa"/>
            <w:noWrap w:val="0"/>
            <w:vAlign w:val="top"/>
          </w:tcPr>
          <w:p w14:paraId="52AC8E45">
            <w:pPr>
              <w:pStyle w:val="19"/>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9"/>
              <w:spacing w:line="360" w:lineRule="auto"/>
              <w:jc w:val="center"/>
              <w:rPr>
                <w:rFonts w:hint="eastAsia" w:ascii="宋体" w:hAnsi="宋体"/>
                <w:bCs w:val="0"/>
                <w:spacing w:val="0"/>
                <w:kern w:val="2"/>
                <w:szCs w:val="24"/>
              </w:rPr>
            </w:pPr>
          </w:p>
        </w:tc>
        <w:tc>
          <w:tcPr>
            <w:tcW w:w="1231" w:type="dxa"/>
            <w:noWrap w:val="0"/>
            <w:vAlign w:val="top"/>
          </w:tcPr>
          <w:p w14:paraId="07D5A85D">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9"/>
              <w:spacing w:line="360" w:lineRule="auto"/>
              <w:jc w:val="center"/>
              <w:rPr>
                <w:rFonts w:hint="eastAsia" w:ascii="宋体" w:hAnsi="宋体"/>
                <w:bCs w:val="0"/>
                <w:spacing w:val="0"/>
                <w:kern w:val="2"/>
                <w:szCs w:val="24"/>
              </w:rPr>
            </w:pPr>
          </w:p>
        </w:tc>
        <w:tc>
          <w:tcPr>
            <w:tcW w:w="1712" w:type="dxa"/>
            <w:noWrap w:val="0"/>
            <w:vAlign w:val="top"/>
          </w:tcPr>
          <w:p w14:paraId="2B929B20">
            <w:pPr>
              <w:pStyle w:val="19"/>
              <w:spacing w:line="360" w:lineRule="auto"/>
              <w:jc w:val="center"/>
              <w:rPr>
                <w:rFonts w:hint="eastAsia" w:ascii="宋体" w:hAnsi="宋体"/>
                <w:bCs w:val="0"/>
                <w:spacing w:val="0"/>
                <w:kern w:val="2"/>
                <w:szCs w:val="24"/>
              </w:rPr>
            </w:pPr>
          </w:p>
        </w:tc>
        <w:tc>
          <w:tcPr>
            <w:tcW w:w="1712" w:type="dxa"/>
            <w:noWrap w:val="0"/>
            <w:vAlign w:val="top"/>
          </w:tcPr>
          <w:p w14:paraId="4A223F87">
            <w:pPr>
              <w:pStyle w:val="19"/>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9"/>
              <w:spacing w:line="360" w:lineRule="auto"/>
              <w:jc w:val="center"/>
              <w:rPr>
                <w:rFonts w:hint="eastAsia" w:ascii="宋体" w:hAnsi="宋体"/>
                <w:bCs w:val="0"/>
                <w:spacing w:val="0"/>
                <w:kern w:val="2"/>
                <w:szCs w:val="24"/>
              </w:rPr>
            </w:pPr>
          </w:p>
        </w:tc>
        <w:tc>
          <w:tcPr>
            <w:tcW w:w="1231" w:type="dxa"/>
            <w:noWrap w:val="0"/>
            <w:vAlign w:val="top"/>
          </w:tcPr>
          <w:p w14:paraId="3265EBF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9"/>
              <w:spacing w:line="360" w:lineRule="auto"/>
              <w:jc w:val="center"/>
              <w:rPr>
                <w:rFonts w:hint="eastAsia" w:ascii="宋体" w:hAnsi="宋体"/>
                <w:bCs w:val="0"/>
                <w:spacing w:val="0"/>
                <w:kern w:val="2"/>
                <w:szCs w:val="24"/>
              </w:rPr>
            </w:pPr>
          </w:p>
        </w:tc>
        <w:tc>
          <w:tcPr>
            <w:tcW w:w="1712" w:type="dxa"/>
            <w:noWrap w:val="0"/>
            <w:vAlign w:val="top"/>
          </w:tcPr>
          <w:p w14:paraId="51A4FE6D">
            <w:pPr>
              <w:pStyle w:val="19"/>
              <w:spacing w:line="360" w:lineRule="auto"/>
              <w:jc w:val="center"/>
              <w:rPr>
                <w:rFonts w:hint="eastAsia" w:ascii="宋体" w:hAnsi="宋体"/>
                <w:bCs w:val="0"/>
                <w:spacing w:val="0"/>
                <w:kern w:val="2"/>
                <w:szCs w:val="24"/>
              </w:rPr>
            </w:pPr>
          </w:p>
        </w:tc>
        <w:tc>
          <w:tcPr>
            <w:tcW w:w="1712" w:type="dxa"/>
            <w:noWrap w:val="0"/>
            <w:vAlign w:val="top"/>
          </w:tcPr>
          <w:p w14:paraId="396C1F4D">
            <w:pPr>
              <w:pStyle w:val="19"/>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9"/>
              <w:spacing w:line="360" w:lineRule="auto"/>
              <w:jc w:val="center"/>
              <w:rPr>
                <w:rFonts w:hint="eastAsia" w:ascii="宋体" w:hAnsi="宋体"/>
                <w:bCs w:val="0"/>
                <w:spacing w:val="0"/>
                <w:kern w:val="2"/>
                <w:szCs w:val="24"/>
              </w:rPr>
            </w:pPr>
          </w:p>
        </w:tc>
        <w:tc>
          <w:tcPr>
            <w:tcW w:w="1231" w:type="dxa"/>
            <w:noWrap w:val="0"/>
            <w:vAlign w:val="top"/>
          </w:tcPr>
          <w:p w14:paraId="26A1905B">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9"/>
              <w:spacing w:line="360" w:lineRule="auto"/>
              <w:jc w:val="center"/>
              <w:rPr>
                <w:rFonts w:hint="eastAsia" w:ascii="宋体" w:hAnsi="宋体"/>
                <w:bCs w:val="0"/>
                <w:spacing w:val="0"/>
                <w:kern w:val="2"/>
                <w:szCs w:val="24"/>
              </w:rPr>
            </w:pPr>
          </w:p>
        </w:tc>
        <w:tc>
          <w:tcPr>
            <w:tcW w:w="1712" w:type="dxa"/>
            <w:noWrap w:val="0"/>
            <w:vAlign w:val="top"/>
          </w:tcPr>
          <w:p w14:paraId="780D744F">
            <w:pPr>
              <w:pStyle w:val="19"/>
              <w:spacing w:line="360" w:lineRule="auto"/>
              <w:jc w:val="center"/>
              <w:rPr>
                <w:rFonts w:hint="eastAsia" w:ascii="宋体" w:hAnsi="宋体"/>
                <w:bCs w:val="0"/>
                <w:spacing w:val="0"/>
                <w:kern w:val="2"/>
                <w:szCs w:val="24"/>
              </w:rPr>
            </w:pPr>
          </w:p>
        </w:tc>
        <w:tc>
          <w:tcPr>
            <w:tcW w:w="1712" w:type="dxa"/>
            <w:noWrap w:val="0"/>
            <w:vAlign w:val="top"/>
          </w:tcPr>
          <w:p w14:paraId="4343A939">
            <w:pPr>
              <w:pStyle w:val="19"/>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9"/>
              <w:spacing w:line="360" w:lineRule="auto"/>
              <w:jc w:val="center"/>
              <w:rPr>
                <w:rFonts w:hint="eastAsia" w:ascii="宋体" w:hAnsi="宋体"/>
                <w:bCs w:val="0"/>
                <w:spacing w:val="0"/>
                <w:kern w:val="2"/>
                <w:szCs w:val="24"/>
              </w:rPr>
            </w:pPr>
          </w:p>
        </w:tc>
        <w:tc>
          <w:tcPr>
            <w:tcW w:w="1712" w:type="dxa"/>
            <w:noWrap w:val="0"/>
            <w:vAlign w:val="top"/>
          </w:tcPr>
          <w:p w14:paraId="7477E0DF">
            <w:pPr>
              <w:pStyle w:val="19"/>
              <w:spacing w:line="360" w:lineRule="auto"/>
              <w:jc w:val="center"/>
              <w:rPr>
                <w:rFonts w:hint="eastAsia" w:ascii="宋体" w:hAnsi="宋体"/>
                <w:bCs w:val="0"/>
                <w:spacing w:val="0"/>
                <w:kern w:val="2"/>
                <w:szCs w:val="24"/>
              </w:rPr>
            </w:pPr>
          </w:p>
        </w:tc>
        <w:tc>
          <w:tcPr>
            <w:tcW w:w="1712" w:type="dxa"/>
            <w:noWrap w:val="0"/>
            <w:vAlign w:val="top"/>
          </w:tcPr>
          <w:p w14:paraId="374089F6">
            <w:pPr>
              <w:pStyle w:val="19"/>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9"/>
              <w:spacing w:line="360" w:lineRule="auto"/>
              <w:jc w:val="center"/>
              <w:rPr>
                <w:rFonts w:hint="eastAsia" w:ascii="宋体" w:hAnsi="宋体"/>
                <w:bCs w:val="0"/>
                <w:spacing w:val="0"/>
                <w:kern w:val="2"/>
                <w:szCs w:val="24"/>
              </w:rPr>
            </w:pPr>
          </w:p>
        </w:tc>
        <w:tc>
          <w:tcPr>
            <w:tcW w:w="1231" w:type="dxa"/>
            <w:noWrap w:val="0"/>
            <w:vAlign w:val="top"/>
          </w:tcPr>
          <w:p w14:paraId="1D514877">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9"/>
              <w:spacing w:line="360" w:lineRule="auto"/>
              <w:jc w:val="center"/>
              <w:rPr>
                <w:rFonts w:hint="eastAsia" w:ascii="宋体" w:hAnsi="宋体"/>
                <w:bCs w:val="0"/>
                <w:spacing w:val="0"/>
                <w:kern w:val="2"/>
                <w:szCs w:val="24"/>
              </w:rPr>
            </w:pPr>
          </w:p>
        </w:tc>
        <w:tc>
          <w:tcPr>
            <w:tcW w:w="1712" w:type="dxa"/>
            <w:noWrap w:val="0"/>
            <w:vAlign w:val="top"/>
          </w:tcPr>
          <w:p w14:paraId="7CC869AD">
            <w:pPr>
              <w:pStyle w:val="19"/>
              <w:spacing w:line="360" w:lineRule="auto"/>
              <w:jc w:val="center"/>
              <w:rPr>
                <w:rFonts w:hint="eastAsia" w:ascii="宋体" w:hAnsi="宋体"/>
                <w:bCs w:val="0"/>
                <w:spacing w:val="0"/>
                <w:kern w:val="2"/>
                <w:szCs w:val="24"/>
              </w:rPr>
            </w:pPr>
          </w:p>
        </w:tc>
        <w:tc>
          <w:tcPr>
            <w:tcW w:w="1712" w:type="dxa"/>
            <w:noWrap w:val="0"/>
            <w:vAlign w:val="top"/>
          </w:tcPr>
          <w:p w14:paraId="720EB70F">
            <w:pPr>
              <w:pStyle w:val="19"/>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9"/>
              <w:spacing w:line="360" w:lineRule="auto"/>
              <w:jc w:val="center"/>
              <w:rPr>
                <w:rFonts w:hint="eastAsia" w:ascii="宋体" w:hAnsi="宋体"/>
                <w:bCs w:val="0"/>
                <w:spacing w:val="0"/>
                <w:kern w:val="2"/>
                <w:szCs w:val="24"/>
              </w:rPr>
            </w:pPr>
          </w:p>
        </w:tc>
        <w:tc>
          <w:tcPr>
            <w:tcW w:w="1231" w:type="dxa"/>
            <w:noWrap w:val="0"/>
            <w:vAlign w:val="top"/>
          </w:tcPr>
          <w:p w14:paraId="7BA23157">
            <w:pPr>
              <w:pStyle w:val="19"/>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9"/>
              <w:spacing w:line="360" w:lineRule="auto"/>
              <w:jc w:val="center"/>
              <w:rPr>
                <w:rFonts w:hint="eastAsia" w:ascii="宋体" w:hAnsi="宋体"/>
                <w:bCs w:val="0"/>
                <w:spacing w:val="0"/>
                <w:kern w:val="2"/>
                <w:szCs w:val="24"/>
              </w:rPr>
            </w:pPr>
          </w:p>
        </w:tc>
        <w:tc>
          <w:tcPr>
            <w:tcW w:w="1712" w:type="dxa"/>
            <w:noWrap w:val="0"/>
            <w:vAlign w:val="top"/>
          </w:tcPr>
          <w:p w14:paraId="61E4CF0D">
            <w:pPr>
              <w:pStyle w:val="19"/>
              <w:spacing w:line="360" w:lineRule="auto"/>
              <w:jc w:val="center"/>
              <w:rPr>
                <w:rFonts w:hint="eastAsia" w:ascii="宋体" w:hAnsi="宋体"/>
                <w:bCs w:val="0"/>
                <w:spacing w:val="0"/>
                <w:kern w:val="2"/>
                <w:szCs w:val="24"/>
              </w:rPr>
            </w:pPr>
          </w:p>
        </w:tc>
        <w:tc>
          <w:tcPr>
            <w:tcW w:w="1712" w:type="dxa"/>
            <w:noWrap w:val="0"/>
            <w:vAlign w:val="top"/>
          </w:tcPr>
          <w:p w14:paraId="1A70AC7F">
            <w:pPr>
              <w:pStyle w:val="19"/>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9"/>
              <w:spacing w:line="360" w:lineRule="auto"/>
              <w:jc w:val="center"/>
              <w:rPr>
                <w:rFonts w:hint="eastAsia" w:ascii="宋体" w:hAnsi="宋体"/>
                <w:bCs w:val="0"/>
                <w:spacing w:val="0"/>
                <w:kern w:val="2"/>
                <w:szCs w:val="24"/>
              </w:rPr>
            </w:pPr>
          </w:p>
        </w:tc>
        <w:tc>
          <w:tcPr>
            <w:tcW w:w="1231" w:type="dxa"/>
            <w:noWrap w:val="0"/>
            <w:vAlign w:val="top"/>
          </w:tcPr>
          <w:p w14:paraId="0FE29246">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9"/>
              <w:spacing w:line="360" w:lineRule="auto"/>
              <w:jc w:val="center"/>
              <w:rPr>
                <w:rFonts w:hint="eastAsia" w:ascii="宋体" w:hAnsi="宋体"/>
                <w:bCs w:val="0"/>
                <w:spacing w:val="0"/>
                <w:kern w:val="2"/>
                <w:szCs w:val="24"/>
              </w:rPr>
            </w:pPr>
          </w:p>
        </w:tc>
        <w:tc>
          <w:tcPr>
            <w:tcW w:w="1712" w:type="dxa"/>
            <w:noWrap w:val="0"/>
            <w:vAlign w:val="top"/>
          </w:tcPr>
          <w:p w14:paraId="3A6B53E5">
            <w:pPr>
              <w:pStyle w:val="19"/>
              <w:spacing w:line="360" w:lineRule="auto"/>
              <w:jc w:val="center"/>
              <w:rPr>
                <w:rFonts w:hint="eastAsia" w:ascii="宋体" w:hAnsi="宋体"/>
                <w:bCs w:val="0"/>
                <w:spacing w:val="0"/>
                <w:kern w:val="2"/>
                <w:szCs w:val="24"/>
              </w:rPr>
            </w:pPr>
          </w:p>
        </w:tc>
        <w:tc>
          <w:tcPr>
            <w:tcW w:w="1712" w:type="dxa"/>
            <w:noWrap w:val="0"/>
            <w:vAlign w:val="top"/>
          </w:tcPr>
          <w:p w14:paraId="2766D4FC">
            <w:pPr>
              <w:pStyle w:val="19"/>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9"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9"/>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0" w:name="_Toc4156"/>
      <w:bookmarkStart w:id="11" w:name="_Toc1353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0"/>
      <w:bookmarkEnd w:id="11"/>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2"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2"/>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3"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3"/>
    </w:p>
    <w:p w14:paraId="647FD815">
      <w:pPr>
        <w:outlineLvl w:val="0"/>
        <w:rPr>
          <w:rFonts w:hint="eastAsia" w:ascii="宋体" w:hAnsi="宋体"/>
          <w:bCs/>
          <w:szCs w:val="24"/>
        </w:rPr>
      </w:pPr>
    </w:p>
    <w:p w14:paraId="73DA0D3D">
      <w:pPr>
        <w:pStyle w:val="21"/>
        <w:jc w:val="both"/>
        <w:rPr>
          <w:rFonts w:ascii="黑体" w:hAnsi="黑体" w:eastAsia="黑体"/>
          <w:b/>
          <w:sz w:val="36"/>
          <w:szCs w:val="36"/>
        </w:rPr>
      </w:pPr>
      <w:r>
        <w:rPr>
          <w:rFonts w:ascii="黑体" w:hAnsi="黑体" w:eastAsia="黑体"/>
          <w:b/>
          <w:sz w:val="36"/>
          <w:szCs w:val="36"/>
        </w:rPr>
        <w:br w:type="page"/>
      </w:r>
      <w:bookmarkStart w:id="14" w:name="_Toc32737"/>
      <w:r>
        <w:rPr>
          <w:rFonts w:hint="eastAsia" w:ascii="黑体" w:hAnsi="黑体" w:eastAsia="黑体"/>
          <w:b/>
          <w:sz w:val="36"/>
          <w:szCs w:val="36"/>
          <w:lang w:val="en-US" w:eastAsia="zh-CN"/>
        </w:rPr>
        <w:t>七</w:t>
      </w:r>
      <w:r>
        <w:rPr>
          <w:rFonts w:ascii="黑体" w:hAnsi="黑体" w:eastAsia="黑体"/>
          <w:b/>
          <w:sz w:val="36"/>
          <w:szCs w:val="36"/>
        </w:rPr>
        <w:t>、</w:t>
      </w:r>
      <w:bookmarkEnd w:id="6"/>
      <w:bookmarkEnd w:id="7"/>
      <w:r>
        <w:rPr>
          <w:rFonts w:hint="eastAsia" w:ascii="黑体" w:hAnsi="黑体" w:eastAsia="黑体"/>
          <w:b/>
          <w:sz w:val="36"/>
          <w:szCs w:val="36"/>
        </w:rPr>
        <w:t>资质审查</w:t>
      </w:r>
      <w:bookmarkEnd w:id="14"/>
    </w:p>
    <w:p w14:paraId="0CDD6321">
      <w:pPr>
        <w:spacing w:line="360" w:lineRule="auto"/>
        <w:jc w:val="left"/>
        <w:outlineLvl w:val="1"/>
        <w:rPr>
          <w:rFonts w:hint="eastAsia" w:ascii="宋体" w:hAnsi="宋体" w:cs="宋体"/>
          <w:b/>
          <w:bCs/>
          <w:sz w:val="24"/>
        </w:rPr>
      </w:pPr>
      <w:bookmarkStart w:id="15" w:name="_Toc2775"/>
      <w:bookmarkStart w:id="16" w:name="_Toc9708"/>
      <w:bookmarkStart w:id="17" w:name="_Toc28069"/>
      <w:bookmarkStart w:id="18" w:name="_Toc98945517"/>
      <w:bookmarkStart w:id="19" w:name="_Toc98945850"/>
      <w:bookmarkStart w:id="20" w:name="_Toc8985"/>
      <w:r>
        <w:rPr>
          <w:rFonts w:hint="eastAsia" w:ascii="宋体" w:hAnsi="宋体" w:cs="宋体"/>
          <w:b/>
          <w:bCs/>
          <w:sz w:val="24"/>
        </w:rPr>
        <w:t>（一）制造商</w:t>
      </w:r>
      <w:bookmarkEnd w:id="15"/>
      <w:bookmarkEnd w:id="16"/>
      <w:bookmarkEnd w:id="17"/>
    </w:p>
    <w:p w14:paraId="6DF1A0EA">
      <w:pPr>
        <w:spacing w:line="360" w:lineRule="auto"/>
        <w:jc w:val="left"/>
        <w:outlineLvl w:val="2"/>
        <w:rPr>
          <w:rFonts w:hint="eastAsia" w:ascii="宋体" w:hAnsi="宋体" w:cs="宋体"/>
          <w:sz w:val="24"/>
        </w:rPr>
      </w:pPr>
      <w:bookmarkStart w:id="21" w:name="_Toc20263"/>
      <w:bookmarkStart w:id="22" w:name="_Toc23079"/>
      <w:r>
        <w:rPr>
          <w:rFonts w:hint="eastAsia" w:ascii="宋体" w:hAnsi="宋体" w:cs="宋体"/>
          <w:sz w:val="24"/>
        </w:rPr>
        <w:t>1、营业执照（三证合一的只需提供一种）</w:t>
      </w:r>
      <w:bookmarkEnd w:id="21"/>
      <w:bookmarkEnd w:id="22"/>
    </w:p>
    <w:p w14:paraId="67F24F1F">
      <w:pPr>
        <w:spacing w:line="360" w:lineRule="auto"/>
        <w:jc w:val="left"/>
        <w:outlineLvl w:val="2"/>
        <w:rPr>
          <w:rFonts w:hint="eastAsia" w:ascii="宋体" w:hAnsi="宋体" w:cs="宋体"/>
          <w:sz w:val="24"/>
        </w:rPr>
      </w:pPr>
      <w:bookmarkStart w:id="23" w:name="_Toc16651"/>
      <w:bookmarkStart w:id="24" w:name="_Toc32337"/>
      <w:r>
        <w:rPr>
          <w:rFonts w:hint="eastAsia" w:ascii="宋体" w:hAnsi="宋体" w:cs="宋体"/>
          <w:sz w:val="24"/>
        </w:rPr>
        <w:t>2、医疗器械生产许可证或生产备案凭证（非医疗器械产品不用提供）</w:t>
      </w:r>
      <w:bookmarkEnd w:id="23"/>
      <w:bookmarkEnd w:id="24"/>
    </w:p>
    <w:p w14:paraId="2A282169">
      <w:pPr>
        <w:spacing w:line="360" w:lineRule="auto"/>
        <w:jc w:val="left"/>
        <w:outlineLvl w:val="2"/>
      </w:pPr>
      <w:bookmarkStart w:id="25" w:name="_Toc29553"/>
      <w:bookmarkStart w:id="26" w:name="_Toc13139"/>
      <w:r>
        <w:rPr>
          <w:rFonts w:hint="eastAsia" w:ascii="宋体" w:hAnsi="宋体" w:cs="宋体"/>
          <w:sz w:val="24"/>
        </w:rPr>
        <w:t>3、医疗器械经营许可证或经营备案凭证（非医疗器械产品不用提供）</w:t>
      </w:r>
      <w:bookmarkEnd w:id="25"/>
      <w:bookmarkEnd w:id="26"/>
    </w:p>
    <w:p w14:paraId="28CAE27D">
      <w:pPr>
        <w:spacing w:line="360" w:lineRule="auto"/>
        <w:jc w:val="left"/>
        <w:outlineLvl w:val="2"/>
        <w:rPr>
          <w:rFonts w:hint="eastAsia" w:ascii="宋体" w:hAnsi="宋体" w:cs="宋体"/>
          <w:sz w:val="24"/>
        </w:rPr>
      </w:pPr>
      <w:bookmarkStart w:id="27" w:name="_Toc17064"/>
      <w:bookmarkStart w:id="28" w:name="_Toc8973"/>
      <w:r>
        <w:rPr>
          <w:rFonts w:hint="eastAsia" w:ascii="宋体" w:hAnsi="宋体" w:cs="宋体"/>
          <w:sz w:val="24"/>
        </w:rPr>
        <w:t>4、中小企业声明函（中小企业提供）</w:t>
      </w:r>
      <w:bookmarkEnd w:id="27"/>
      <w:bookmarkEnd w:id="28"/>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29" w:name="_Toc25819"/>
      <w:bookmarkStart w:id="30" w:name="_Toc3825"/>
      <w:bookmarkStart w:id="31" w:name="_Toc4037"/>
      <w:r>
        <w:rPr>
          <w:rFonts w:hint="eastAsia" w:ascii="宋体" w:hAnsi="宋体" w:cs="宋体"/>
          <w:b/>
          <w:bCs/>
          <w:sz w:val="24"/>
        </w:rPr>
        <w:t>（二）供应商</w:t>
      </w:r>
      <w:bookmarkEnd w:id="29"/>
      <w:bookmarkEnd w:id="30"/>
      <w:bookmarkEnd w:id="31"/>
    </w:p>
    <w:p w14:paraId="46C25FB3">
      <w:pPr>
        <w:spacing w:line="360" w:lineRule="auto"/>
        <w:jc w:val="left"/>
        <w:outlineLvl w:val="2"/>
        <w:rPr>
          <w:rFonts w:hint="eastAsia" w:ascii="宋体" w:hAnsi="宋体" w:cs="宋体"/>
          <w:sz w:val="24"/>
        </w:rPr>
      </w:pPr>
      <w:bookmarkStart w:id="32" w:name="_Toc27449"/>
      <w:bookmarkStart w:id="33" w:name="_Toc32368"/>
      <w:r>
        <w:rPr>
          <w:rFonts w:hint="eastAsia" w:ascii="宋体" w:hAnsi="宋体" w:cs="宋体"/>
          <w:sz w:val="24"/>
        </w:rPr>
        <w:t>1、营业执照（三证合一的只需提供一种）</w:t>
      </w:r>
      <w:bookmarkEnd w:id="32"/>
      <w:bookmarkEnd w:id="33"/>
    </w:p>
    <w:p w14:paraId="237EC946">
      <w:pPr>
        <w:spacing w:line="360" w:lineRule="auto"/>
        <w:jc w:val="left"/>
        <w:outlineLvl w:val="2"/>
      </w:pPr>
      <w:bookmarkStart w:id="34" w:name="_Toc7913"/>
      <w:bookmarkStart w:id="35" w:name="_Toc1575"/>
      <w:r>
        <w:rPr>
          <w:rFonts w:hint="eastAsia" w:ascii="宋体" w:hAnsi="宋体" w:cs="宋体"/>
          <w:sz w:val="24"/>
        </w:rPr>
        <w:t>2、医疗器械经营许可证或经营备案凭证（非医疗器械产品不用提供）</w:t>
      </w:r>
      <w:bookmarkEnd w:id="34"/>
      <w:bookmarkEnd w:id="35"/>
    </w:p>
    <w:p w14:paraId="42B3B92F">
      <w:pPr>
        <w:spacing w:line="360" w:lineRule="auto"/>
        <w:jc w:val="left"/>
        <w:outlineLvl w:val="2"/>
        <w:rPr>
          <w:rFonts w:hint="eastAsia" w:ascii="宋体" w:hAnsi="宋体" w:cs="宋体"/>
          <w:sz w:val="24"/>
        </w:rPr>
      </w:pPr>
      <w:bookmarkStart w:id="36" w:name="_Toc3192"/>
      <w:bookmarkStart w:id="37" w:name="_Toc5952"/>
      <w:r>
        <w:rPr>
          <w:rFonts w:hint="eastAsia" w:ascii="宋体" w:hAnsi="宋体" w:cs="宋体"/>
          <w:sz w:val="24"/>
        </w:rPr>
        <w:t>3、中小企业声明函（中小企业提供）</w:t>
      </w:r>
      <w:bookmarkEnd w:id="36"/>
      <w:bookmarkEnd w:id="37"/>
    </w:p>
    <w:p w14:paraId="52E88289">
      <w:pPr>
        <w:spacing w:line="360" w:lineRule="auto"/>
        <w:jc w:val="left"/>
        <w:outlineLvl w:val="2"/>
        <w:rPr>
          <w:rFonts w:hint="eastAsia" w:ascii="宋体" w:hAnsi="宋体" w:cs="宋体"/>
          <w:sz w:val="24"/>
        </w:rPr>
      </w:pPr>
      <w:bookmarkStart w:id="38" w:name="_Toc31906"/>
      <w:bookmarkStart w:id="39" w:name="_Toc228"/>
      <w:r>
        <w:rPr>
          <w:rFonts w:hint="eastAsia" w:ascii="宋体" w:hAnsi="宋体" w:cs="宋体"/>
          <w:sz w:val="24"/>
        </w:rPr>
        <w:t>4、制造商授权代理资料</w:t>
      </w:r>
      <w:bookmarkEnd w:id="38"/>
      <w:bookmarkEnd w:id="39"/>
    </w:p>
    <w:p w14:paraId="4E5F9638">
      <w:pPr>
        <w:spacing w:line="360" w:lineRule="auto"/>
        <w:jc w:val="left"/>
        <w:outlineLvl w:val="2"/>
      </w:pPr>
      <w:bookmarkStart w:id="40" w:name="_Toc3642"/>
      <w:bookmarkStart w:id="41" w:name="_Toc10102"/>
      <w:r>
        <w:rPr>
          <w:rFonts w:hint="eastAsia" w:ascii="宋体" w:hAnsi="宋体" w:cs="宋体"/>
          <w:sz w:val="24"/>
        </w:rPr>
        <w:t>5、法人证明及法人身份证复印件</w:t>
      </w:r>
      <w:bookmarkEnd w:id="40"/>
      <w:bookmarkEnd w:id="41"/>
    </w:p>
    <w:p w14:paraId="0A455B57">
      <w:pPr>
        <w:spacing w:line="360" w:lineRule="auto"/>
        <w:jc w:val="left"/>
        <w:outlineLvl w:val="2"/>
        <w:rPr>
          <w:rFonts w:hint="eastAsia" w:ascii="宋体" w:hAnsi="宋体" w:cs="宋体"/>
          <w:b/>
          <w:bCs/>
          <w:sz w:val="24"/>
        </w:rPr>
      </w:pPr>
      <w:bookmarkStart w:id="42" w:name="_Toc19819"/>
      <w:bookmarkStart w:id="43" w:name="_Toc6766"/>
      <w:r>
        <w:rPr>
          <w:rFonts w:hint="eastAsia" w:ascii="宋体" w:hAnsi="宋体" w:cs="宋体"/>
          <w:sz w:val="24"/>
        </w:rPr>
        <w:t>6、法人授权函及被授权人身份证复印件</w:t>
      </w:r>
      <w:bookmarkEnd w:id="42"/>
      <w:bookmarkEnd w:id="43"/>
    </w:p>
    <w:p w14:paraId="306BD6FD">
      <w:pPr>
        <w:spacing w:line="360" w:lineRule="auto"/>
        <w:jc w:val="left"/>
        <w:outlineLvl w:val="1"/>
        <w:rPr>
          <w:rFonts w:hint="eastAsia" w:ascii="宋体" w:hAnsi="宋体" w:cs="宋体"/>
          <w:b/>
          <w:bCs/>
          <w:sz w:val="24"/>
        </w:rPr>
      </w:pPr>
      <w:bookmarkStart w:id="44" w:name="_Toc18522"/>
      <w:bookmarkStart w:id="45" w:name="_Toc30450"/>
      <w:bookmarkStart w:id="46" w:name="_Toc3687"/>
      <w:r>
        <w:rPr>
          <w:rFonts w:hint="eastAsia" w:ascii="宋体" w:hAnsi="宋体" w:cs="宋体"/>
          <w:b/>
          <w:bCs/>
          <w:sz w:val="24"/>
        </w:rPr>
        <w:t>（三）产品</w:t>
      </w:r>
      <w:bookmarkEnd w:id="44"/>
      <w:bookmarkEnd w:id="45"/>
      <w:bookmarkEnd w:id="46"/>
    </w:p>
    <w:p w14:paraId="1BFA1BDF">
      <w:pPr>
        <w:spacing w:line="360" w:lineRule="auto"/>
        <w:jc w:val="left"/>
        <w:outlineLvl w:val="2"/>
        <w:rPr>
          <w:rFonts w:hint="eastAsia" w:ascii="宋体" w:hAnsi="宋体" w:cs="宋体"/>
          <w:sz w:val="24"/>
        </w:rPr>
      </w:pPr>
      <w:bookmarkStart w:id="47" w:name="_Toc17613"/>
      <w:bookmarkStart w:id="48" w:name="_Toc12473"/>
      <w:r>
        <w:rPr>
          <w:rFonts w:hint="eastAsia" w:ascii="宋体" w:hAnsi="宋体" w:cs="宋体"/>
          <w:sz w:val="24"/>
        </w:rPr>
        <w:t>1、报名型号的医疗器械注册证（非医疗器械产品需提供相关说明）</w:t>
      </w:r>
      <w:bookmarkEnd w:id="47"/>
      <w:bookmarkEnd w:id="48"/>
    </w:p>
    <w:p w14:paraId="39A127AA">
      <w:pPr>
        <w:spacing w:line="360" w:lineRule="auto"/>
        <w:jc w:val="left"/>
        <w:outlineLvl w:val="2"/>
        <w:rPr>
          <w:rFonts w:hint="eastAsia"/>
        </w:rPr>
      </w:pPr>
      <w:bookmarkStart w:id="49" w:name="_Toc26098"/>
      <w:bookmarkStart w:id="50" w:name="_Toc9222"/>
      <w:r>
        <w:rPr>
          <w:rFonts w:hint="eastAsia" w:ascii="宋体" w:hAnsi="宋体" w:cs="宋体"/>
          <w:sz w:val="24"/>
        </w:rPr>
        <w:t>2、正版软件授权或计算机软件著作权证明等文件（设备自带信息系统的需提供）</w:t>
      </w:r>
      <w:bookmarkEnd w:id="49"/>
      <w:bookmarkEnd w:id="50"/>
    </w:p>
    <w:p w14:paraId="3BC638DD">
      <w:pPr>
        <w:spacing w:line="360" w:lineRule="auto"/>
        <w:jc w:val="left"/>
        <w:outlineLvl w:val="1"/>
        <w:rPr>
          <w:rFonts w:hint="eastAsia" w:ascii="宋体" w:hAnsi="宋体" w:cs="宋体"/>
          <w:b/>
          <w:bCs/>
          <w:sz w:val="24"/>
        </w:rPr>
      </w:pPr>
      <w:bookmarkStart w:id="51" w:name="_Toc912"/>
      <w:bookmarkStart w:id="52" w:name="_Toc23830"/>
      <w:r>
        <w:rPr>
          <w:rFonts w:hint="eastAsia" w:ascii="宋体" w:hAnsi="宋体" w:cs="宋体"/>
          <w:b/>
          <w:bCs/>
          <w:sz w:val="24"/>
        </w:rPr>
        <w:t>（四）本项目涉及的相关证件汇总</w:t>
      </w:r>
      <w:bookmarkEnd w:id="51"/>
      <w:bookmarkEnd w:id="52"/>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4"/>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21"/>
        <w:jc w:val="left"/>
        <w:rPr>
          <w:rFonts w:hint="default" w:ascii="宋体" w:hAnsi="宋体" w:eastAsia="宋体" w:cs="宋体"/>
          <w:kern w:val="2"/>
          <w:sz w:val="24"/>
          <w:szCs w:val="22"/>
          <w:lang w:val="en-US" w:eastAsia="zh-CN" w:bidi="ar-SA"/>
        </w:rPr>
      </w:pPr>
      <w:bookmarkStart w:id="53" w:name="_Toc1025"/>
      <w:r>
        <w:rPr>
          <w:rFonts w:hint="eastAsia" w:ascii="黑体" w:hAnsi="黑体" w:eastAsia="黑体"/>
          <w:b/>
          <w:sz w:val="36"/>
          <w:szCs w:val="36"/>
          <w:lang w:val="en-US" w:eastAsia="zh-CN"/>
        </w:rPr>
        <w:t>八、用户名单</w:t>
      </w:r>
      <w:bookmarkEnd w:id="53"/>
    </w:p>
    <w:p w14:paraId="3498530A">
      <w:pPr>
        <w:outlineLvl w:val="0"/>
        <w:rPr>
          <w:rFonts w:hint="eastAsia" w:ascii="宋体" w:hAnsi="宋体" w:eastAsia="宋体" w:cs="宋体"/>
          <w:kern w:val="2"/>
          <w:sz w:val="24"/>
          <w:szCs w:val="22"/>
          <w:lang w:val="en-US" w:eastAsia="zh-CN" w:bidi="ar-SA"/>
        </w:rPr>
      </w:pPr>
      <w:bookmarkStart w:id="54" w:name="_Toc21623"/>
      <w:bookmarkStart w:id="55" w:name="_Toc8574"/>
      <w:r>
        <w:rPr>
          <w:rFonts w:hint="eastAsia" w:ascii="宋体" w:hAnsi="宋体" w:eastAsia="宋体" w:cs="宋体"/>
          <w:kern w:val="2"/>
          <w:sz w:val="24"/>
          <w:szCs w:val="22"/>
          <w:lang w:val="en-US" w:eastAsia="zh-CN" w:bidi="ar-SA"/>
        </w:rPr>
        <w:t>近三年广东省三甲医院客户名单或全国同级别医院用户名单</w:t>
      </w:r>
      <w:bookmarkEnd w:id="54"/>
      <w:bookmarkEnd w:id="55"/>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56"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18"/>
      <w:bookmarkEnd w:id="19"/>
      <w:bookmarkEnd w:id="20"/>
      <w:bookmarkEnd w:id="56"/>
    </w:p>
    <w:p w14:paraId="408CA693">
      <w:pPr>
        <w:numPr>
          <w:ilvl w:val="0"/>
          <w:numId w:val="3"/>
        </w:numPr>
        <w:outlineLvl w:val="0"/>
        <w:rPr>
          <w:rFonts w:hint="eastAsia" w:ascii="黑体" w:hAnsi="黑体" w:eastAsia="黑体"/>
          <w:b/>
          <w:sz w:val="36"/>
          <w:szCs w:val="36"/>
          <w:lang w:val="en-US" w:eastAsia="zh-CN"/>
        </w:rPr>
      </w:pPr>
      <w:bookmarkStart w:id="57" w:name="_Toc24852"/>
      <w:r>
        <w:rPr>
          <w:rFonts w:hint="eastAsia" w:ascii="黑体" w:hAnsi="黑体" w:eastAsia="黑体"/>
          <w:b/>
          <w:sz w:val="36"/>
          <w:szCs w:val="36"/>
          <w:lang w:val="en-US" w:eastAsia="zh-CN"/>
        </w:rPr>
        <w:t>产品报价单</w:t>
      </w:r>
      <w:bookmarkEnd w:id="57"/>
    </w:p>
    <w:p w14:paraId="1C1EEF27">
      <w:pPr>
        <w:jc w:val="center"/>
        <w:outlineLvl w:val="0"/>
        <w:rPr>
          <w:rFonts w:hint="eastAsia" w:ascii="宋体" w:hAnsi="宋体" w:eastAsia="宋体"/>
          <w:sz w:val="28"/>
          <w:szCs w:val="28"/>
          <w:lang w:eastAsia="zh-CN"/>
        </w:rPr>
      </w:pPr>
      <w:bookmarkStart w:id="58" w:name="_Toc485"/>
      <w:bookmarkStart w:id="59" w:name="_Toc6168"/>
      <w:r>
        <w:rPr>
          <w:rFonts w:hint="eastAsia" w:ascii="宋体" w:hAnsi="宋体" w:cs="宋体"/>
          <w:b/>
          <w:bCs/>
          <w:sz w:val="28"/>
          <w:szCs w:val="28"/>
        </w:rPr>
        <w:t>一、报价单</w:t>
      </w:r>
      <w:bookmarkEnd w:id="58"/>
      <w:bookmarkEnd w:id="59"/>
    </w:p>
    <w:tbl>
      <w:tblPr>
        <w:tblStyle w:val="14"/>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6"/>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abstractNum w:abstractNumId="1">
    <w:nsid w:val="6D5950DB"/>
    <w:multiLevelType w:val="singleLevel"/>
    <w:tmpl w:val="6D5950DB"/>
    <w:lvl w:ilvl="0" w:tentative="0">
      <w:start w:val="1"/>
      <w:numFmt w:val="decimal"/>
      <w:lvlText w:val="%1."/>
      <w:lvlJc w:val="left"/>
      <w:pPr>
        <w:tabs>
          <w:tab w:val="left" w:pos="312"/>
        </w:tabs>
      </w:pPr>
    </w:lvl>
  </w:abstractNum>
  <w:abstractNum w:abstractNumId="2">
    <w:nsid w:val="6FBE29C2"/>
    <w:multiLevelType w:val="multilevel"/>
    <w:tmpl w:val="6FBE29C2"/>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5C0008"/>
    <w:rsid w:val="00702588"/>
    <w:rsid w:val="00D5063D"/>
    <w:rsid w:val="00D743B5"/>
    <w:rsid w:val="012D2227"/>
    <w:rsid w:val="02433EBA"/>
    <w:rsid w:val="0273635F"/>
    <w:rsid w:val="0275321B"/>
    <w:rsid w:val="02B96468"/>
    <w:rsid w:val="02E21BC9"/>
    <w:rsid w:val="02F05C02"/>
    <w:rsid w:val="035146F6"/>
    <w:rsid w:val="03B96DDC"/>
    <w:rsid w:val="03ED2BA9"/>
    <w:rsid w:val="04115E30"/>
    <w:rsid w:val="0430275A"/>
    <w:rsid w:val="04D806FC"/>
    <w:rsid w:val="04E027C9"/>
    <w:rsid w:val="04F61510"/>
    <w:rsid w:val="05C07B0D"/>
    <w:rsid w:val="064D7B32"/>
    <w:rsid w:val="06587D46"/>
    <w:rsid w:val="071719AF"/>
    <w:rsid w:val="078E1545"/>
    <w:rsid w:val="07DC5C29"/>
    <w:rsid w:val="08602EE2"/>
    <w:rsid w:val="087E4ECC"/>
    <w:rsid w:val="08D505E6"/>
    <w:rsid w:val="08DB07BA"/>
    <w:rsid w:val="090916CE"/>
    <w:rsid w:val="090D12BC"/>
    <w:rsid w:val="0934684C"/>
    <w:rsid w:val="09657743"/>
    <w:rsid w:val="09811362"/>
    <w:rsid w:val="09930631"/>
    <w:rsid w:val="09950E27"/>
    <w:rsid w:val="0A1B3564"/>
    <w:rsid w:val="0A2D13AA"/>
    <w:rsid w:val="0A6767AA"/>
    <w:rsid w:val="0A801619"/>
    <w:rsid w:val="0B1B1342"/>
    <w:rsid w:val="0BDA2FAB"/>
    <w:rsid w:val="0BEA3F46"/>
    <w:rsid w:val="0C2105C6"/>
    <w:rsid w:val="0D701E19"/>
    <w:rsid w:val="0DAC452F"/>
    <w:rsid w:val="0DAD4E1B"/>
    <w:rsid w:val="0DCB5F30"/>
    <w:rsid w:val="0E0D58BA"/>
    <w:rsid w:val="0E680D42"/>
    <w:rsid w:val="0EFE5203"/>
    <w:rsid w:val="0F16079E"/>
    <w:rsid w:val="0F307991"/>
    <w:rsid w:val="0FCB7000"/>
    <w:rsid w:val="0FDB04CA"/>
    <w:rsid w:val="104D4694"/>
    <w:rsid w:val="10691EF0"/>
    <w:rsid w:val="109A074C"/>
    <w:rsid w:val="10A06571"/>
    <w:rsid w:val="10D26947"/>
    <w:rsid w:val="10EE19D3"/>
    <w:rsid w:val="10F1501F"/>
    <w:rsid w:val="113C03CA"/>
    <w:rsid w:val="11494E5B"/>
    <w:rsid w:val="11B20C52"/>
    <w:rsid w:val="11C05AA9"/>
    <w:rsid w:val="12086AC4"/>
    <w:rsid w:val="13741F37"/>
    <w:rsid w:val="13BF1404"/>
    <w:rsid w:val="14665D24"/>
    <w:rsid w:val="15045FA4"/>
    <w:rsid w:val="1517701E"/>
    <w:rsid w:val="154D2A40"/>
    <w:rsid w:val="15781D56"/>
    <w:rsid w:val="159D7523"/>
    <w:rsid w:val="16447815"/>
    <w:rsid w:val="16D927DD"/>
    <w:rsid w:val="16FD5645"/>
    <w:rsid w:val="17580A4C"/>
    <w:rsid w:val="177C13BA"/>
    <w:rsid w:val="17981331"/>
    <w:rsid w:val="17C81EAF"/>
    <w:rsid w:val="17CF3BE0"/>
    <w:rsid w:val="184A17FC"/>
    <w:rsid w:val="18714C97"/>
    <w:rsid w:val="18E6204E"/>
    <w:rsid w:val="191A70DD"/>
    <w:rsid w:val="195C122A"/>
    <w:rsid w:val="19662322"/>
    <w:rsid w:val="1A0062D3"/>
    <w:rsid w:val="1A5D1977"/>
    <w:rsid w:val="1A8C400A"/>
    <w:rsid w:val="1AB836E5"/>
    <w:rsid w:val="1ACE017F"/>
    <w:rsid w:val="1AEE25CF"/>
    <w:rsid w:val="1B3D5491"/>
    <w:rsid w:val="1B99078D"/>
    <w:rsid w:val="1BB47375"/>
    <w:rsid w:val="1BEA2D97"/>
    <w:rsid w:val="1C556F6E"/>
    <w:rsid w:val="1CF77676"/>
    <w:rsid w:val="1CFC5477"/>
    <w:rsid w:val="1D1125A5"/>
    <w:rsid w:val="1D1344DE"/>
    <w:rsid w:val="1D9C6312"/>
    <w:rsid w:val="1DCB23FE"/>
    <w:rsid w:val="1E14234D"/>
    <w:rsid w:val="1E1E31CB"/>
    <w:rsid w:val="1EC12CD1"/>
    <w:rsid w:val="1EE2069D"/>
    <w:rsid w:val="1F3247FA"/>
    <w:rsid w:val="1FA80FEE"/>
    <w:rsid w:val="20055C62"/>
    <w:rsid w:val="20331C4E"/>
    <w:rsid w:val="208F1FFE"/>
    <w:rsid w:val="20A976C4"/>
    <w:rsid w:val="213622DD"/>
    <w:rsid w:val="21F4671D"/>
    <w:rsid w:val="22CE51C0"/>
    <w:rsid w:val="23192B3B"/>
    <w:rsid w:val="23492A98"/>
    <w:rsid w:val="23C87E61"/>
    <w:rsid w:val="23FE1AD5"/>
    <w:rsid w:val="24311EAA"/>
    <w:rsid w:val="24375442"/>
    <w:rsid w:val="24A63F04"/>
    <w:rsid w:val="24F61D27"/>
    <w:rsid w:val="250C0222"/>
    <w:rsid w:val="25334D38"/>
    <w:rsid w:val="26213859"/>
    <w:rsid w:val="26263565"/>
    <w:rsid w:val="26313AFC"/>
    <w:rsid w:val="266C4A1A"/>
    <w:rsid w:val="26AF6371"/>
    <w:rsid w:val="26B0420B"/>
    <w:rsid w:val="26B26D02"/>
    <w:rsid w:val="26E8081A"/>
    <w:rsid w:val="275E288B"/>
    <w:rsid w:val="28887BBF"/>
    <w:rsid w:val="28A6098D"/>
    <w:rsid w:val="28CC03F4"/>
    <w:rsid w:val="28E962AC"/>
    <w:rsid w:val="2A2542A4"/>
    <w:rsid w:val="2A6F51E9"/>
    <w:rsid w:val="2A900FAD"/>
    <w:rsid w:val="2AB4553F"/>
    <w:rsid w:val="2B270654"/>
    <w:rsid w:val="2B360C05"/>
    <w:rsid w:val="2B367DA6"/>
    <w:rsid w:val="2B724D12"/>
    <w:rsid w:val="2C3342E6"/>
    <w:rsid w:val="2C5B55EB"/>
    <w:rsid w:val="2CFF066C"/>
    <w:rsid w:val="2D1934DC"/>
    <w:rsid w:val="2D5E35E4"/>
    <w:rsid w:val="2DAC25A2"/>
    <w:rsid w:val="2DE44F07"/>
    <w:rsid w:val="2E3305CD"/>
    <w:rsid w:val="2E6C1D31"/>
    <w:rsid w:val="2F264CBE"/>
    <w:rsid w:val="2F307DD8"/>
    <w:rsid w:val="2F4F58DB"/>
    <w:rsid w:val="2F754BF7"/>
    <w:rsid w:val="2F8F5F19"/>
    <w:rsid w:val="2FCD5859"/>
    <w:rsid w:val="30655FAD"/>
    <w:rsid w:val="30803D66"/>
    <w:rsid w:val="309605D0"/>
    <w:rsid w:val="30B73737"/>
    <w:rsid w:val="30E958BB"/>
    <w:rsid w:val="31484D58"/>
    <w:rsid w:val="31DD3B9C"/>
    <w:rsid w:val="320B4554"/>
    <w:rsid w:val="32A01CB7"/>
    <w:rsid w:val="32C75788"/>
    <w:rsid w:val="32C91500"/>
    <w:rsid w:val="32FC18D5"/>
    <w:rsid w:val="33024A12"/>
    <w:rsid w:val="33CD3272"/>
    <w:rsid w:val="33DD1D36"/>
    <w:rsid w:val="343432F1"/>
    <w:rsid w:val="349F4552"/>
    <w:rsid w:val="351F18AB"/>
    <w:rsid w:val="35352E7D"/>
    <w:rsid w:val="35A95619"/>
    <w:rsid w:val="35F9034E"/>
    <w:rsid w:val="36252EF1"/>
    <w:rsid w:val="365F2AC5"/>
    <w:rsid w:val="36603F29"/>
    <w:rsid w:val="367479D5"/>
    <w:rsid w:val="369167D9"/>
    <w:rsid w:val="36D0153A"/>
    <w:rsid w:val="36F32FEF"/>
    <w:rsid w:val="37617BEF"/>
    <w:rsid w:val="379B055B"/>
    <w:rsid w:val="37EA43F2"/>
    <w:rsid w:val="3805122C"/>
    <w:rsid w:val="382673F4"/>
    <w:rsid w:val="386A108F"/>
    <w:rsid w:val="38961E84"/>
    <w:rsid w:val="38AC24E0"/>
    <w:rsid w:val="38C84008"/>
    <w:rsid w:val="38E52197"/>
    <w:rsid w:val="39007C46"/>
    <w:rsid w:val="39203309"/>
    <w:rsid w:val="39430063"/>
    <w:rsid w:val="398443D3"/>
    <w:rsid w:val="398B750F"/>
    <w:rsid w:val="39A01B07"/>
    <w:rsid w:val="3A8B1791"/>
    <w:rsid w:val="3BE13D5E"/>
    <w:rsid w:val="3CC638BA"/>
    <w:rsid w:val="3CD74F72"/>
    <w:rsid w:val="3D65451B"/>
    <w:rsid w:val="3D714C6E"/>
    <w:rsid w:val="3DAE1A1E"/>
    <w:rsid w:val="3DC06744"/>
    <w:rsid w:val="3DD05E38"/>
    <w:rsid w:val="3DEE4511"/>
    <w:rsid w:val="3E083824"/>
    <w:rsid w:val="3E4E4FAF"/>
    <w:rsid w:val="3E802786"/>
    <w:rsid w:val="3E94330A"/>
    <w:rsid w:val="3EA1120A"/>
    <w:rsid w:val="3EA42E21"/>
    <w:rsid w:val="3EA47CB6"/>
    <w:rsid w:val="3F0267C7"/>
    <w:rsid w:val="3F297917"/>
    <w:rsid w:val="3F80388E"/>
    <w:rsid w:val="3FA7331D"/>
    <w:rsid w:val="3FEF631E"/>
    <w:rsid w:val="3FFA0F4B"/>
    <w:rsid w:val="40AE54AA"/>
    <w:rsid w:val="413F7C42"/>
    <w:rsid w:val="41A76EB0"/>
    <w:rsid w:val="41AA69A0"/>
    <w:rsid w:val="41EA1493"/>
    <w:rsid w:val="42402E61"/>
    <w:rsid w:val="425A3C21"/>
    <w:rsid w:val="42630F5F"/>
    <w:rsid w:val="43014CE6"/>
    <w:rsid w:val="432F3601"/>
    <w:rsid w:val="438A0837"/>
    <w:rsid w:val="44384737"/>
    <w:rsid w:val="44AC7440"/>
    <w:rsid w:val="45467E40"/>
    <w:rsid w:val="45583E57"/>
    <w:rsid w:val="45594C4E"/>
    <w:rsid w:val="45F4468E"/>
    <w:rsid w:val="463F7FFF"/>
    <w:rsid w:val="46F96400"/>
    <w:rsid w:val="4751486C"/>
    <w:rsid w:val="475811E0"/>
    <w:rsid w:val="48054931"/>
    <w:rsid w:val="481728B6"/>
    <w:rsid w:val="48E409EA"/>
    <w:rsid w:val="490746D8"/>
    <w:rsid w:val="49413407"/>
    <w:rsid w:val="49733339"/>
    <w:rsid w:val="49CA4084"/>
    <w:rsid w:val="49E14F29"/>
    <w:rsid w:val="4A08695A"/>
    <w:rsid w:val="4A1B48DF"/>
    <w:rsid w:val="4A4F27DB"/>
    <w:rsid w:val="4A6F3A11"/>
    <w:rsid w:val="4A7A394A"/>
    <w:rsid w:val="4A8F2BD7"/>
    <w:rsid w:val="4AB7459E"/>
    <w:rsid w:val="4ACE62B7"/>
    <w:rsid w:val="4AE747C1"/>
    <w:rsid w:val="4B533C05"/>
    <w:rsid w:val="4B8D2F5C"/>
    <w:rsid w:val="4B8E31F1"/>
    <w:rsid w:val="4BE62228"/>
    <w:rsid w:val="4C075C03"/>
    <w:rsid w:val="4C0D2006"/>
    <w:rsid w:val="4C3610C3"/>
    <w:rsid w:val="4CBB4158"/>
    <w:rsid w:val="4D36558C"/>
    <w:rsid w:val="4D810EFD"/>
    <w:rsid w:val="4D8B30DC"/>
    <w:rsid w:val="4E9609D8"/>
    <w:rsid w:val="4E9E5ADF"/>
    <w:rsid w:val="4F091C95"/>
    <w:rsid w:val="4F204746"/>
    <w:rsid w:val="4F4246BC"/>
    <w:rsid w:val="4F531073"/>
    <w:rsid w:val="4F960564"/>
    <w:rsid w:val="4FE45009"/>
    <w:rsid w:val="506F328F"/>
    <w:rsid w:val="508A00C9"/>
    <w:rsid w:val="51752B27"/>
    <w:rsid w:val="51BA678C"/>
    <w:rsid w:val="51CB0999"/>
    <w:rsid w:val="51E47CAD"/>
    <w:rsid w:val="52174091"/>
    <w:rsid w:val="53566988"/>
    <w:rsid w:val="536F17F8"/>
    <w:rsid w:val="53894668"/>
    <w:rsid w:val="53B813F1"/>
    <w:rsid w:val="53C15593"/>
    <w:rsid w:val="545E3D46"/>
    <w:rsid w:val="54644976"/>
    <w:rsid w:val="5524161D"/>
    <w:rsid w:val="552F56E3"/>
    <w:rsid w:val="553E5926"/>
    <w:rsid w:val="55511924"/>
    <w:rsid w:val="555667CB"/>
    <w:rsid w:val="55747DDB"/>
    <w:rsid w:val="5594236A"/>
    <w:rsid w:val="559439D6"/>
    <w:rsid w:val="56933A4F"/>
    <w:rsid w:val="576F4E59"/>
    <w:rsid w:val="57CF0E85"/>
    <w:rsid w:val="5872647C"/>
    <w:rsid w:val="58BB73E8"/>
    <w:rsid w:val="59103135"/>
    <w:rsid w:val="59170968"/>
    <w:rsid w:val="5AA601F5"/>
    <w:rsid w:val="5AFC1BC3"/>
    <w:rsid w:val="5B123195"/>
    <w:rsid w:val="5B461090"/>
    <w:rsid w:val="5B834092"/>
    <w:rsid w:val="5B884B6D"/>
    <w:rsid w:val="5C1318BA"/>
    <w:rsid w:val="5CA50038"/>
    <w:rsid w:val="5CE46DB3"/>
    <w:rsid w:val="5D107BA8"/>
    <w:rsid w:val="5D333896"/>
    <w:rsid w:val="5D465377"/>
    <w:rsid w:val="5D5738A4"/>
    <w:rsid w:val="5D681792"/>
    <w:rsid w:val="5E2854D2"/>
    <w:rsid w:val="5E350A17"/>
    <w:rsid w:val="5E3F3128"/>
    <w:rsid w:val="5E5B64C7"/>
    <w:rsid w:val="5EAE1198"/>
    <w:rsid w:val="5ECC4F99"/>
    <w:rsid w:val="5F2416E8"/>
    <w:rsid w:val="5FAE38AF"/>
    <w:rsid w:val="60643109"/>
    <w:rsid w:val="60C76B80"/>
    <w:rsid w:val="611C05BC"/>
    <w:rsid w:val="61204131"/>
    <w:rsid w:val="61720E31"/>
    <w:rsid w:val="617C3A5E"/>
    <w:rsid w:val="61F23D20"/>
    <w:rsid w:val="620B63A7"/>
    <w:rsid w:val="62611AEE"/>
    <w:rsid w:val="62A2795B"/>
    <w:rsid w:val="62B62F9F"/>
    <w:rsid w:val="62C92CD3"/>
    <w:rsid w:val="63041F5D"/>
    <w:rsid w:val="6346457F"/>
    <w:rsid w:val="63716EC6"/>
    <w:rsid w:val="63732C3E"/>
    <w:rsid w:val="63957059"/>
    <w:rsid w:val="63E33DD8"/>
    <w:rsid w:val="642108EC"/>
    <w:rsid w:val="64B001F7"/>
    <w:rsid w:val="64BC0C9E"/>
    <w:rsid w:val="64C00BBA"/>
    <w:rsid w:val="64EA0F27"/>
    <w:rsid w:val="65766A16"/>
    <w:rsid w:val="65AC068A"/>
    <w:rsid w:val="65B42C3C"/>
    <w:rsid w:val="65B805E0"/>
    <w:rsid w:val="65C21C5B"/>
    <w:rsid w:val="65E676F8"/>
    <w:rsid w:val="66011168"/>
    <w:rsid w:val="66430FEE"/>
    <w:rsid w:val="66716722"/>
    <w:rsid w:val="66C7577B"/>
    <w:rsid w:val="66CD7F4F"/>
    <w:rsid w:val="676C0FC5"/>
    <w:rsid w:val="67972ADA"/>
    <w:rsid w:val="67CB1F47"/>
    <w:rsid w:val="697F3EB1"/>
    <w:rsid w:val="6A4468E9"/>
    <w:rsid w:val="6A841BD5"/>
    <w:rsid w:val="6A9F256B"/>
    <w:rsid w:val="6B2036AC"/>
    <w:rsid w:val="6B28640F"/>
    <w:rsid w:val="6B317667"/>
    <w:rsid w:val="6BC00B4A"/>
    <w:rsid w:val="6BDD334B"/>
    <w:rsid w:val="6C40658B"/>
    <w:rsid w:val="6C4258A4"/>
    <w:rsid w:val="6C9205D9"/>
    <w:rsid w:val="6C944351"/>
    <w:rsid w:val="6CDE55CC"/>
    <w:rsid w:val="6CEA3604"/>
    <w:rsid w:val="6D2154B9"/>
    <w:rsid w:val="6D6D1F81"/>
    <w:rsid w:val="6D8048D6"/>
    <w:rsid w:val="6D875C64"/>
    <w:rsid w:val="6DBD775A"/>
    <w:rsid w:val="6E184B0E"/>
    <w:rsid w:val="6E313E22"/>
    <w:rsid w:val="6E423939"/>
    <w:rsid w:val="6E8B3532"/>
    <w:rsid w:val="6E9A19C7"/>
    <w:rsid w:val="6EDC3E65"/>
    <w:rsid w:val="6F103A37"/>
    <w:rsid w:val="6F2A2D4B"/>
    <w:rsid w:val="6F326C40"/>
    <w:rsid w:val="6FBB43B1"/>
    <w:rsid w:val="70531E2E"/>
    <w:rsid w:val="709663AE"/>
    <w:rsid w:val="70CB4CC8"/>
    <w:rsid w:val="70EA4D5B"/>
    <w:rsid w:val="70F51137"/>
    <w:rsid w:val="70F80C27"/>
    <w:rsid w:val="711409DB"/>
    <w:rsid w:val="714C1439"/>
    <w:rsid w:val="7150146A"/>
    <w:rsid w:val="71A21035"/>
    <w:rsid w:val="71B256A1"/>
    <w:rsid w:val="71E84D6B"/>
    <w:rsid w:val="71FB452B"/>
    <w:rsid w:val="729161CA"/>
    <w:rsid w:val="729A01E8"/>
    <w:rsid w:val="72AB332E"/>
    <w:rsid w:val="72DA05E4"/>
    <w:rsid w:val="736060B0"/>
    <w:rsid w:val="73A155A6"/>
    <w:rsid w:val="73BC3923"/>
    <w:rsid w:val="73FB4CB6"/>
    <w:rsid w:val="74EC45FF"/>
    <w:rsid w:val="753B0E3A"/>
    <w:rsid w:val="75706FDE"/>
    <w:rsid w:val="75826D11"/>
    <w:rsid w:val="75CD65C9"/>
    <w:rsid w:val="763E0E8A"/>
    <w:rsid w:val="768947FB"/>
    <w:rsid w:val="76A553AD"/>
    <w:rsid w:val="76B63116"/>
    <w:rsid w:val="76FB104C"/>
    <w:rsid w:val="77C74EAF"/>
    <w:rsid w:val="77FE4D75"/>
    <w:rsid w:val="78016613"/>
    <w:rsid w:val="78174088"/>
    <w:rsid w:val="7840713B"/>
    <w:rsid w:val="786F5C73"/>
    <w:rsid w:val="788D434B"/>
    <w:rsid w:val="78A3591C"/>
    <w:rsid w:val="78E75A1E"/>
    <w:rsid w:val="79240A64"/>
    <w:rsid w:val="795F312A"/>
    <w:rsid w:val="79791F2A"/>
    <w:rsid w:val="797D7F1B"/>
    <w:rsid w:val="7A2F3CBE"/>
    <w:rsid w:val="7A4F266D"/>
    <w:rsid w:val="7AAD65DE"/>
    <w:rsid w:val="7B0C1557"/>
    <w:rsid w:val="7BC260B9"/>
    <w:rsid w:val="7C7E0232"/>
    <w:rsid w:val="7C9218D6"/>
    <w:rsid w:val="7CDE51F0"/>
    <w:rsid w:val="7D5471E5"/>
    <w:rsid w:val="7D821FA4"/>
    <w:rsid w:val="7DBC3708"/>
    <w:rsid w:val="7DDD71DA"/>
    <w:rsid w:val="7E471C25"/>
    <w:rsid w:val="7E7E41A8"/>
    <w:rsid w:val="7EA53A8B"/>
    <w:rsid w:val="7EAD12A3"/>
    <w:rsid w:val="7EE34CC4"/>
    <w:rsid w:val="7F08472B"/>
    <w:rsid w:val="7F4453B2"/>
    <w:rsid w:val="7F9B204C"/>
    <w:rsid w:val="7FE7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qFormat/>
    <w:uiPriority w:val="0"/>
    <w:pPr>
      <w:jc w:val="left"/>
    </w:pPr>
  </w:style>
  <w:style w:type="paragraph" w:styleId="5">
    <w:name w:val="Body Text Indent"/>
    <w:basedOn w:val="1"/>
    <w:qFormat/>
    <w:uiPriority w:val="0"/>
    <w:pPr>
      <w:ind w:firstLine="570"/>
    </w:pPr>
    <w:rPr>
      <w:rFonts w:ascii="宋体"/>
      <w:sz w:val="28"/>
      <w:szCs w:val="20"/>
    </w:rPr>
  </w:style>
  <w:style w:type="paragraph" w:styleId="6">
    <w:name w:val="Block Text"/>
    <w:basedOn w:val="1"/>
    <w:qFormat/>
    <w:uiPriority w:val="99"/>
    <w:pPr>
      <w:ind w:left="718" w:leftChars="342" w:right="25" w:rightChars="12" w:firstLine="2" w:firstLineChars="1"/>
    </w:pPr>
    <w:rPr>
      <w:rFonts w:cs="宋体"/>
    </w:rPr>
  </w:style>
  <w:style w:type="paragraph" w:styleId="7">
    <w:name w:val="toc 3"/>
    <w:basedOn w:val="1"/>
    <w:next w:val="1"/>
    <w:qFormat/>
    <w:uiPriority w:val="39"/>
    <w:pPr>
      <w:ind w:left="840" w:leftChars="400"/>
    </w:pPr>
  </w:style>
  <w:style w:type="paragraph" w:styleId="8">
    <w:name w:val="Plain Text"/>
    <w:basedOn w:val="1"/>
    <w:qFormat/>
    <w:uiPriority w:val="0"/>
    <w:pPr>
      <w:widowControl w:val="0"/>
      <w:jc w:val="both"/>
    </w:pPr>
    <w:rPr>
      <w:rFonts w:ascii="宋体" w:hAnsi="Courier New"/>
      <w:kern w:val="2"/>
    </w:rPr>
  </w:style>
  <w:style w:type="paragraph" w:styleId="9">
    <w:name w:val="Date"/>
    <w:basedOn w:val="1"/>
    <w:next w:val="1"/>
    <w:qFormat/>
    <w:uiPriority w:val="0"/>
    <w:rPr>
      <w:rFonts w:ascii="楷体_GB2312" w:hAnsi="Calibri" w:eastAsia="楷体_GB2312" w:cs="Times New Roman"/>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table" w:styleId="15">
    <w:name w:val="Table Grid"/>
    <w:basedOn w:val="14"/>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unhideWhenUsed/>
    <w:qFormat/>
    <w:uiPriority w:val="99"/>
    <w:rPr>
      <w:color w:val="0000FF"/>
      <w:u w:val="single"/>
    </w:rPr>
  </w:style>
  <w:style w:type="paragraph" w:customStyle="1" w:styleId="19">
    <w:name w:val="表格文字"/>
    <w:basedOn w:val="1"/>
    <w:qFormat/>
    <w:uiPriority w:val="0"/>
    <w:pPr>
      <w:spacing w:before="25" w:beforeLines="0" w:after="25" w:afterLines="0"/>
      <w:jc w:val="left"/>
    </w:pPr>
    <w:rPr>
      <w:bCs/>
      <w:spacing w:val="10"/>
      <w:kern w:val="0"/>
      <w:sz w:val="24"/>
      <w:szCs w:val="20"/>
    </w:rPr>
  </w:style>
  <w:style w:type="paragraph" w:customStyle="1" w:styleId="20">
    <w:name w:val="1"/>
    <w:basedOn w:val="1"/>
    <w:next w:val="8"/>
    <w:qFormat/>
    <w:uiPriority w:val="0"/>
    <w:rPr>
      <w:rFonts w:ascii="宋体" w:hAnsi="Courier New"/>
      <w:szCs w:val="20"/>
    </w:rPr>
  </w:style>
  <w:style w:type="paragraph" w:customStyle="1" w:styleId="21">
    <w:name w:val="样式1"/>
    <w:basedOn w:val="1"/>
    <w:qFormat/>
    <w:uiPriority w:val="0"/>
    <w:pPr>
      <w:spacing w:line="360" w:lineRule="auto"/>
      <w:jc w:val="center"/>
      <w:outlineLvl w:val="0"/>
    </w:pPr>
    <w:rPr>
      <w:rFonts w:ascii="宋体" w:hAnsi="宋体" w:cs="宋体"/>
      <w:b/>
      <w:bCs/>
      <w:sz w:val="28"/>
      <w:szCs w:val="28"/>
    </w:rPr>
  </w:style>
  <w:style w:type="paragraph" w:styleId="22">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 w:type="paragraph" w:customStyle="1" w:styleId="23">
    <w:name w:val="Body text|1"/>
    <w:basedOn w:val="1"/>
    <w:autoRedefine/>
    <w:qFormat/>
    <w:uiPriority w:val="0"/>
    <w:pPr>
      <w:spacing w:line="480" w:lineRule="auto"/>
    </w:pPr>
    <w:rPr>
      <w:rFonts w:ascii="宋体" w:hAnsi="宋体" w:cs="宋体"/>
      <w:sz w:val="19"/>
      <w:szCs w:val="19"/>
      <w:lang w:val="zh-TW" w:eastAsia="zh-TW" w:bidi="zh-TW"/>
    </w:rPr>
  </w:style>
  <w:style w:type="character" w:customStyle="1" w:styleId="24">
    <w:name w:val="font101"/>
    <w:basedOn w:val="16"/>
    <w:qFormat/>
    <w:uiPriority w:val="0"/>
    <w:rPr>
      <w:rFonts w:hint="eastAsia" w:ascii="宋体" w:hAnsi="宋体" w:eastAsia="宋体" w:cs="宋体"/>
      <w:b/>
      <w:bCs/>
      <w:color w:val="000000"/>
      <w:sz w:val="24"/>
      <w:szCs w:val="24"/>
      <w:u w:val="none"/>
    </w:rPr>
  </w:style>
  <w:style w:type="character" w:customStyle="1" w:styleId="25">
    <w:name w:val="font31"/>
    <w:basedOn w:val="16"/>
    <w:qFormat/>
    <w:uiPriority w:val="0"/>
    <w:rPr>
      <w:rFonts w:hint="default" w:ascii="Times New Roman" w:hAnsi="Times New Roman" w:cs="Times New Roman"/>
      <w:b/>
      <w:bCs/>
      <w:color w:val="000000"/>
      <w:sz w:val="24"/>
      <w:szCs w:val="24"/>
      <w:u w:val="none"/>
    </w:rPr>
  </w:style>
  <w:style w:type="paragraph" w:customStyle="1" w:styleId="26">
    <w:name w:val="Table Text"/>
    <w:basedOn w:val="1"/>
    <w:semiHidden/>
    <w:qFormat/>
    <w:uiPriority w:val="0"/>
    <w:rPr>
      <w:rFonts w:ascii="宋体" w:hAnsi="宋体" w:eastAsia="宋体" w:cs="宋体"/>
      <w:sz w:val="21"/>
      <w:szCs w:val="21"/>
      <w:lang w:val="en-US" w:eastAsia="en-US" w:bidi="ar-SA"/>
    </w:rPr>
  </w:style>
  <w:style w:type="table" w:customStyle="1" w:styleId="2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5352</Words>
  <Characters>6097</Characters>
  <Lines>0</Lines>
  <Paragraphs>0</Paragraphs>
  <TotalTime>0</TotalTime>
  <ScaleCrop>false</ScaleCrop>
  <LinksUpToDate>false</LinksUpToDate>
  <CharactersWithSpaces>6725</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Administrator</cp:lastModifiedBy>
  <cp:lastPrinted>2024-08-15T05:52:00Z</cp:lastPrinted>
  <dcterms:modified xsi:type="dcterms:W3CDTF">2026-07-01T02:33:00Z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E967CC33200C4C1EB22AE01369452190_13</vt:lpwstr>
  </property>
  <property fmtid="{D5CDD505-2E9C-101B-9397-08002B2CF9AE}" pid="4" name="KSOTemplateDocerSaveRecord">
    <vt:lpwstr>eyJoZGlkIjoiNTQ0ZTE2YmU1ZmJjMTA2NDM0ZGI2MTJlYzViZDJlZWQiLCJ1c2VySWQiOiIxMjE5MDA1Mjc0In0=</vt:lpwstr>
  </property>
</Properties>
</file>