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6180FC">
      <w:pPr>
        <w:jc w:val="center"/>
        <w:rPr>
          <w:rFonts w:hint="eastAsia" w:ascii="仿宋_GB2312" w:hAnsi="仿宋_GB2312" w:eastAsia="仿宋_GB2312" w:cs="仿宋_GB2312"/>
          <w:b/>
          <w:bCs/>
          <w:sz w:val="36"/>
          <w:szCs w:val="36"/>
        </w:rPr>
      </w:pPr>
      <w:r>
        <w:rPr>
          <w:rFonts w:hint="eastAsia" w:ascii="仿宋_GB2312" w:hAnsi="仿宋_GB2312" w:eastAsia="仿宋_GB2312" w:cs="仿宋_GB2312"/>
          <w:b/>
          <w:bCs/>
          <w:sz w:val="36"/>
          <w:szCs w:val="36"/>
        </w:rPr>
        <w:t>湛江市第一中医医院外送检验项目服务采购需求</w:t>
      </w:r>
    </w:p>
    <w:p w14:paraId="6128F7E6">
      <w:pPr>
        <w:rPr>
          <w:rFonts w:hint="eastAsia"/>
        </w:rPr>
      </w:pPr>
    </w:p>
    <w:p w14:paraId="2A4ACE8D">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一、项目基本信息</w:t>
      </w:r>
    </w:p>
    <w:p w14:paraId="0810A3D0">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 采购方式：公开招标</w:t>
      </w:r>
      <w:bookmarkStart w:id="0" w:name="_GoBack"/>
      <w:bookmarkEnd w:id="0"/>
    </w:p>
    <w:p w14:paraId="55FDD98D">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 预算金额：690万元（人民币），按标本外送委托检验项目实际支付金额累计计算，累计支付金额达到合同约定上限后合同终止。</w:t>
      </w:r>
    </w:p>
    <w:p w14:paraId="1897842C">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3. 服务期限：自合同签订之日起3年，或标本外送委托检验项目累计支付金额达到折后690万元为止，两个条件以先到者为准。如遇国家政策调整（包括但不限于医保支付政策、医疗服务价格政策、检验项目目录调整等）导致合同无法继续执行，或发生不可抗力情形，合同可提前终止。因采购人内部政策调整（包括但不限于自行开展其中部分检测项目）需减少或终止部分外送项目的，采购人提前30日书面通知中标人后即可执行，中标人不得以此为由主张违约赔偿或要求调整折扣率。合同终止后，中标人应在30日内完成数据移交、样本处置及系统数据清理工作，所有移交数据的所有权归采购人所有。</w:t>
      </w:r>
    </w:p>
    <w:p w14:paraId="64F01982">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4. 投标要求：投标人须对本项目全部采购标的进行整体投标，仅对部分内容、部分项目进行投标的，视为无效投标。</w:t>
      </w:r>
    </w:p>
    <w:p w14:paraId="10034F26">
      <w:pPr>
        <w:rPr>
          <w:rFonts w:hint="eastAsia" w:ascii="仿宋_GB2312" w:hAnsi="仿宋_GB2312" w:eastAsia="仿宋_GB2312" w:cs="仿宋_GB2312"/>
          <w:sz w:val="30"/>
          <w:szCs w:val="30"/>
        </w:rPr>
      </w:pPr>
    </w:p>
    <w:p w14:paraId="7664ADA4">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二、采购总体要求</w:t>
      </w:r>
    </w:p>
    <w:p w14:paraId="30635CEA">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 项目目标：补充医学检验科、病理科未开展的检验/病理项目，补齐检测能力短板，满足临床诊疗及学科发展需求。采购人保留根据自身检测能力提升情况逐步收回外送项目的权利。</w:t>
      </w:r>
    </w:p>
    <w:p w14:paraId="49B59374">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 服务范围：覆盖本院检验科、病理科未开展的所有检验/病理项目，包括但不限于临床检验、生化、免疫、微生物、临检细胞学、组织病理、分子生物学等类别，具体项目以附表1</w:t>
      </w: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rPr>
        <w:t>附表</w:t>
      </w:r>
      <w:r>
        <w:rPr>
          <w:rFonts w:hint="eastAsia" w:ascii="仿宋_GB2312" w:hAnsi="仿宋_GB2312" w:eastAsia="仿宋_GB2312" w:cs="仿宋_GB2312"/>
          <w:sz w:val="30"/>
          <w:szCs w:val="30"/>
          <w:lang w:val="en-US" w:eastAsia="zh-CN"/>
        </w:rPr>
        <w:t>2</w:t>
      </w:r>
      <w:r>
        <w:rPr>
          <w:rFonts w:hint="eastAsia" w:ascii="仿宋_GB2312" w:hAnsi="仿宋_GB2312" w:eastAsia="仿宋_GB2312" w:cs="仿宋_GB2312"/>
          <w:sz w:val="30"/>
          <w:szCs w:val="30"/>
        </w:rPr>
        <w:t>为基础</w:t>
      </w:r>
      <w:r>
        <w:rPr>
          <w:rFonts w:hint="eastAsia" w:ascii="仿宋_GB2312" w:hAnsi="仿宋_GB2312" w:eastAsia="仿宋_GB2312" w:cs="仿宋_GB2312"/>
          <w:color w:val="FF0000"/>
          <w:sz w:val="30"/>
          <w:szCs w:val="30"/>
          <w:lang w:eastAsia="zh-CN"/>
        </w:rPr>
        <w:t>（</w:t>
      </w:r>
      <w:r>
        <w:rPr>
          <w:rFonts w:hint="eastAsia" w:ascii="仿宋_GB2312" w:hAnsi="仿宋_GB2312" w:eastAsia="仿宋_GB2312" w:cs="仿宋_GB2312"/>
          <w:color w:val="FF0000"/>
          <w:sz w:val="30"/>
          <w:szCs w:val="30"/>
          <w:lang w:val="en-US" w:eastAsia="zh-CN"/>
        </w:rPr>
        <w:t>包括但不限于</w:t>
      </w:r>
      <w:r>
        <w:rPr>
          <w:rFonts w:hint="eastAsia" w:ascii="仿宋_GB2312" w:hAnsi="仿宋_GB2312" w:eastAsia="仿宋_GB2312" w:cs="仿宋_GB2312"/>
          <w:color w:val="FF0000"/>
          <w:sz w:val="30"/>
          <w:szCs w:val="30"/>
          <w:lang w:eastAsia="zh-CN"/>
        </w:rPr>
        <w:t>）</w:t>
      </w:r>
      <w:r>
        <w:rPr>
          <w:rFonts w:hint="eastAsia" w:ascii="仿宋_GB2312" w:hAnsi="仿宋_GB2312" w:eastAsia="仿宋_GB2312" w:cs="仿宋_GB2312"/>
          <w:sz w:val="30"/>
          <w:szCs w:val="30"/>
        </w:rPr>
        <w:t>，实际执行中可根据临床需求动态调整。投标人须在投标文件中按照附表1</w:t>
      </w: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rPr>
        <w:t>附表</w:t>
      </w:r>
      <w:r>
        <w:rPr>
          <w:rFonts w:hint="eastAsia" w:ascii="仿宋_GB2312" w:hAnsi="仿宋_GB2312" w:eastAsia="仿宋_GB2312" w:cs="仿宋_GB2312"/>
          <w:sz w:val="30"/>
          <w:szCs w:val="30"/>
          <w:lang w:val="en-US" w:eastAsia="zh-CN"/>
        </w:rPr>
        <w:t>2</w:t>
      </w:r>
      <w:r>
        <w:rPr>
          <w:rFonts w:hint="eastAsia" w:ascii="仿宋_GB2312" w:hAnsi="仿宋_GB2312" w:eastAsia="仿宋_GB2312" w:cs="仿宋_GB2312"/>
          <w:sz w:val="30"/>
          <w:szCs w:val="30"/>
        </w:rPr>
        <w:t>所列项目逐项响应，明确标注各项目能否提供服务、报告周期及检测方法学。投标人未在响应表中列明或标注“不提供服务”的项目，视为承诺能够按附表所列标准提供服务，中标后不得以“该项目无参考意义”“该项目成本过高”“试剂不匹配”等任何理由拒绝或延迟开展。附表1</w:t>
      </w: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rPr>
        <w:t>附表</w:t>
      </w:r>
      <w:r>
        <w:rPr>
          <w:rFonts w:hint="eastAsia" w:ascii="仿宋_GB2312" w:hAnsi="仿宋_GB2312" w:eastAsia="仿宋_GB2312" w:cs="仿宋_GB2312"/>
          <w:sz w:val="30"/>
          <w:szCs w:val="30"/>
          <w:lang w:val="en-US" w:eastAsia="zh-CN"/>
        </w:rPr>
        <w:t>2</w:t>
      </w:r>
      <w:r>
        <w:rPr>
          <w:rFonts w:hint="eastAsia" w:ascii="仿宋_GB2312" w:hAnsi="仿宋_GB2312" w:eastAsia="仿宋_GB2312" w:cs="仿宋_GB2312"/>
          <w:sz w:val="30"/>
          <w:szCs w:val="30"/>
        </w:rPr>
        <w:t>以外新增的项目（因临床需求动态调整新增），</w:t>
      </w:r>
      <w:r>
        <w:rPr>
          <w:rFonts w:hint="eastAsia" w:ascii="仿宋_GB2312" w:hAnsi="仿宋_GB2312" w:eastAsia="仿宋_GB2312" w:cs="仿宋_GB2312"/>
          <w:sz w:val="30"/>
          <w:szCs w:val="30"/>
          <w:lang w:val="en-US" w:eastAsia="zh-CN"/>
        </w:rPr>
        <w:t>均按本合同条款执行</w:t>
      </w:r>
      <w:r>
        <w:rPr>
          <w:rFonts w:hint="eastAsia" w:ascii="仿宋_GB2312" w:hAnsi="仿宋_GB2312" w:eastAsia="仿宋_GB2312" w:cs="仿宋_GB2312"/>
          <w:sz w:val="30"/>
          <w:szCs w:val="30"/>
        </w:rPr>
        <w:t>，投标人不得以“未在附表中列明”为由拒绝提供服务。采购人有权根据临床需求、政策变化对外送检验/病理项目进行增减、调整，中标人须无条件配合执行，不得以此为由调整折扣率或要求增加服务费用。</w:t>
      </w:r>
    </w:p>
    <w:p w14:paraId="77DC2AE8">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3. 项目适配说明：因不同投标人使用的检测试剂存在差异，允许个别项目名称、套餐包含项目数存在合理偏差，但核心检测内容、临床参考价值不得低于附表所列标准。如投标人提供的检测项目在临床路径、诊疗指南中的参考价值低于附表所列标准，评审委员会有权认定为负偏离并作出不利于投标人的评审决定。双方对“合理偏差”认定存在争议时，以采购人所在地区三级甲等医院通用检测方法及临床指南推荐等级为评判标准。</w:t>
      </w:r>
    </w:p>
    <w:p w14:paraId="1FF2320A">
      <w:pPr>
        <w:rPr>
          <w:rFonts w:hint="eastAsia" w:ascii="仿宋_GB2312" w:hAnsi="仿宋_GB2312" w:eastAsia="仿宋_GB2312" w:cs="仿宋_GB2312"/>
          <w:sz w:val="30"/>
          <w:szCs w:val="30"/>
        </w:rPr>
      </w:pPr>
    </w:p>
    <w:p w14:paraId="774BC9C9">
      <w:pPr>
        <w:rPr>
          <w:rFonts w:hint="eastAsia" w:ascii="仿宋_GB2312" w:hAnsi="仿宋_GB2312" w:eastAsia="仿宋_GB2312" w:cs="仿宋_GB2312"/>
          <w:sz w:val="30"/>
          <w:szCs w:val="30"/>
        </w:rPr>
      </w:pPr>
    </w:p>
    <w:p w14:paraId="66CAC61B">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三、投标人资质要求</w:t>
      </w:r>
    </w:p>
    <w:p w14:paraId="5AFCB16E">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 主体合规要求：投标人实验室符合国家卫生健康委《医疗机构临床实验室管理办法》等相关法律法规要求，持有合法有效的《医疗机构执业许可证》，登记的诊疗科目、检验项目与许可范围完全一致，执业范围须同时覆盖医学检验、病理检验、分子生物学检验类别。</w:t>
      </w:r>
    </w:p>
    <w:p w14:paraId="385E4499">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 实验室认证要求：</w:t>
      </w:r>
    </w:p>
    <w:p w14:paraId="058DA753">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xml:space="preserve">   1. 通过中国合格评定国家认可委员会（CNAS）认可，取得有效期内的ISO 15189医学实验室认可证书；</w:t>
      </w:r>
    </w:p>
    <w:p w14:paraId="73E1E7D5">
      <w:pPr>
        <w:rPr>
          <w:rFonts w:hint="eastAsia" w:ascii="仿宋_GB2312" w:hAnsi="仿宋_GB2312" w:eastAsia="仿宋_GB2312" w:cs="仿宋_GB2312"/>
          <w:color w:val="auto"/>
          <w:sz w:val="30"/>
          <w:szCs w:val="30"/>
          <w:highlight w:val="none"/>
        </w:rPr>
      </w:pPr>
      <w:r>
        <w:rPr>
          <w:rFonts w:hint="eastAsia" w:ascii="仿宋_GB2312" w:hAnsi="仿宋_GB2312" w:eastAsia="仿宋_GB2312" w:cs="仿宋_GB2312"/>
          <w:sz w:val="30"/>
          <w:szCs w:val="30"/>
        </w:rPr>
        <w:t xml:space="preserve">  </w:t>
      </w:r>
      <w:r>
        <w:rPr>
          <w:rFonts w:hint="eastAsia" w:ascii="仿宋_GB2312" w:hAnsi="仿宋_GB2312" w:eastAsia="仿宋_GB2312" w:cs="仿宋_GB2312"/>
          <w:color w:val="auto"/>
          <w:sz w:val="30"/>
          <w:szCs w:val="30"/>
          <w:highlight w:val="none"/>
        </w:rPr>
        <w:t xml:space="preserve"> 2. 供应商</w:t>
      </w:r>
      <w:r>
        <w:rPr>
          <w:rFonts w:hint="eastAsia" w:ascii="仿宋_GB2312" w:hAnsi="仿宋_GB2312" w:eastAsia="仿宋_GB2312" w:cs="仿宋_GB2312"/>
          <w:color w:val="auto"/>
          <w:sz w:val="30"/>
          <w:szCs w:val="30"/>
          <w:highlight w:val="none"/>
          <w:lang w:val="en-US" w:eastAsia="zh-CN"/>
        </w:rPr>
        <w:t>需</w:t>
      </w:r>
      <w:r>
        <w:rPr>
          <w:rFonts w:hint="eastAsia" w:ascii="仿宋_GB2312" w:hAnsi="仿宋_GB2312" w:eastAsia="仿宋_GB2312" w:cs="仿宋_GB2312"/>
          <w:color w:val="auto"/>
          <w:sz w:val="30"/>
          <w:szCs w:val="30"/>
          <w:highlight w:val="none"/>
        </w:rPr>
        <w:t>具备</w:t>
      </w:r>
      <w:r>
        <w:rPr>
          <w:rFonts w:hint="eastAsia" w:ascii="仿宋_GB2312" w:hAnsi="仿宋_GB2312" w:eastAsia="仿宋_GB2312" w:cs="仿宋_GB2312"/>
          <w:sz w:val="30"/>
          <w:szCs w:val="30"/>
        </w:rPr>
        <w:t>广东省临床检验中心</w:t>
      </w:r>
      <w:r>
        <w:rPr>
          <w:rFonts w:hint="eastAsia" w:ascii="仿宋_GB2312" w:hAnsi="仿宋_GB2312" w:eastAsia="仿宋_GB2312" w:cs="仿宋_GB2312"/>
          <w:color w:val="auto"/>
          <w:sz w:val="30"/>
          <w:szCs w:val="30"/>
          <w:highlight w:val="none"/>
        </w:rPr>
        <w:t>有效的《临床基因扩增检验实验室技术审核合格证》</w:t>
      </w:r>
    </w:p>
    <w:p w14:paraId="28D1526C">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xml:space="preserve">   3. 实验室生物安全等级达到二级及以上，持有有效期内的病原微生物实验室生物安全备案证明；</w:t>
      </w:r>
    </w:p>
    <w:p w14:paraId="2DF5D280">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xml:space="preserve">   4. 为省级及以上三级医疗机构、医学检验所检验结果互认单位。</w:t>
      </w:r>
    </w:p>
    <w:p w14:paraId="068622AC">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3. 质控能力要求：</w:t>
      </w:r>
    </w:p>
    <w:p w14:paraId="30D75FC6">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xml:space="preserve">   1. 常规参加国家卫健委（或省级）临床检验中心组织的室间质评活动，近2年所有参评项目成绩均合格；</w:t>
      </w:r>
    </w:p>
    <w:p w14:paraId="50149AA5">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xml:space="preserve">   2. 常规参加国家（或省级）病理质控中心组织的室间质评活动，近2年所有参评项目成绩均合格。</w:t>
      </w:r>
    </w:p>
    <w:p w14:paraId="3B554E62">
      <w:pPr>
        <w:rPr>
          <w:rFonts w:hint="eastAsia" w:ascii="仿宋_GB2312" w:hAnsi="仿宋_GB2312" w:eastAsia="仿宋_GB2312" w:cs="仿宋_GB2312"/>
          <w:sz w:val="30"/>
          <w:szCs w:val="30"/>
          <w:highlight w:val="cyan"/>
        </w:rPr>
      </w:pPr>
      <w:r>
        <w:rPr>
          <w:rFonts w:hint="eastAsia" w:ascii="仿宋_GB2312" w:hAnsi="仿宋_GB2312" w:eastAsia="仿宋_GB2312" w:cs="仿宋_GB2312"/>
          <w:sz w:val="30"/>
          <w:szCs w:val="30"/>
        </w:rPr>
        <w:t xml:space="preserve">4. </w:t>
      </w:r>
      <w:r>
        <w:rPr>
          <w:rFonts w:hint="eastAsia" w:ascii="仿宋_GB2312" w:hAnsi="仿宋_GB2312" w:eastAsia="仿宋_GB2312" w:cs="仿宋_GB2312"/>
          <w:sz w:val="30"/>
          <w:szCs w:val="30"/>
          <w:highlight w:val="none"/>
        </w:rPr>
        <w:t>病理服务能力要求：投标人病理实验室具备完善的病理技术平台，覆盖细胞病理、组织病理、分子病理、远程病理等模块，具备</w:t>
      </w:r>
      <w:r>
        <w:rPr>
          <w:rFonts w:hint="eastAsia" w:ascii="仿宋_GB2312" w:hAnsi="仿宋_GB2312" w:eastAsia="仿宋_GB2312" w:cs="仿宋_GB2312"/>
          <w:b w:val="0"/>
          <w:bCs w:val="0"/>
          <w:color w:val="auto"/>
          <w:sz w:val="30"/>
          <w:szCs w:val="30"/>
          <w:highlight w:val="none"/>
          <w:lang w:val="en-US" w:eastAsia="zh-CN"/>
        </w:rPr>
        <w:t>2</w:t>
      </w:r>
      <w:r>
        <w:rPr>
          <w:rFonts w:hint="eastAsia" w:ascii="仿宋_GB2312" w:hAnsi="仿宋_GB2312" w:eastAsia="仿宋_GB2312" w:cs="仿宋_GB2312"/>
          <w:sz w:val="30"/>
          <w:szCs w:val="30"/>
          <w:highlight w:val="none"/>
        </w:rPr>
        <w:t>年以上远程病理诊断服务经验，平台运营情况良好。</w:t>
      </w:r>
    </w:p>
    <w:p w14:paraId="5B9B3CC4">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5. 人员配备要求：实验室人员配置合理、岗位职责明确，配备满足项目需求的服务团队，包括病理医师、检验技师、PCR实验室技术人员、物流专员、售后服务专员等，所有人员均具备对应岗位的执业资质。投标人须在投标文件中提供拟投入主要人员名单、执业资格证明及社</w:t>
      </w:r>
      <w:r>
        <w:rPr>
          <w:rFonts w:hint="eastAsia" w:ascii="仿宋_GB2312" w:hAnsi="仿宋_GB2312" w:eastAsia="仿宋_GB2312" w:cs="仿宋_GB2312"/>
          <w:sz w:val="30"/>
          <w:szCs w:val="30"/>
          <w:highlight w:val="none"/>
        </w:rPr>
        <w:t>保缴纳证明</w:t>
      </w:r>
      <w:r>
        <w:rPr>
          <w:rFonts w:hint="eastAsia" w:ascii="仿宋_GB2312" w:hAnsi="仿宋_GB2312" w:eastAsia="仿宋_GB2312" w:cs="仿宋_GB2312"/>
          <w:color w:val="auto"/>
          <w:sz w:val="30"/>
          <w:szCs w:val="30"/>
          <w:highlight w:val="none"/>
        </w:rPr>
        <w:t>或社会保险参保人员证明，或劳动关系证明等。</w:t>
      </w:r>
    </w:p>
    <w:p w14:paraId="38C68544">
      <w:pPr>
        <w:rPr>
          <w:rFonts w:hint="eastAsia" w:ascii="仿宋_GB2312" w:hAnsi="仿宋_GB2312" w:eastAsia="仿宋_GB2312" w:cs="仿宋_GB2312"/>
          <w:sz w:val="30"/>
          <w:szCs w:val="30"/>
        </w:rPr>
      </w:pPr>
    </w:p>
    <w:p w14:paraId="2D90F116">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四、报价要求</w:t>
      </w:r>
    </w:p>
    <w:p w14:paraId="5D7F6664">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 收费基准规则：本项目所有外送检验/病理项目，收费基准价按照《湛江市公立医疗机构基本医疗服务项目价格汇总表》（最新版本）中我院对应等级的服务项目价格执行；汇总表中无对应项目的，以广东省医疗保障局同类项目定价标准为补充；合同履行期间，如政府发布新的医疗服务项目价格标准，自文件要求执行之日起，按新标准调整对应项目收费基准价。</w:t>
      </w:r>
    </w:p>
    <w:p w14:paraId="6929DE05">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 报价规则：本项目医学检验、病理检验统一按折扣率报价，折扣率≤</w:t>
      </w:r>
      <w:r>
        <w:rPr>
          <w:rFonts w:hint="eastAsia" w:ascii="仿宋_GB2312" w:hAnsi="仿宋_GB2312" w:eastAsia="仿宋_GB2312" w:cs="仿宋_GB2312"/>
          <w:sz w:val="30"/>
          <w:szCs w:val="30"/>
          <w:lang w:val="en-US" w:eastAsia="zh-CN"/>
        </w:rPr>
        <w:t>33</w:t>
      </w:r>
      <w:r>
        <w:rPr>
          <w:rFonts w:hint="eastAsia" w:ascii="仿宋_GB2312" w:hAnsi="仿宋_GB2312" w:eastAsia="仿宋_GB2312" w:cs="仿宋_GB2312"/>
          <w:sz w:val="30"/>
          <w:szCs w:val="30"/>
        </w:rPr>
        <w:t>%，报价为含税全包价，包含但不限于人员费用、检测费用、运输费用、取样耗材、系统对接及培训费用、增值服务费用、税费、管理费用，以及项目实施过程中所有可预见及不可预见的费用。投标人须同时报出折扣率和对应的费率报价（即折扣率×基准价），作为价格评审依据。采购人不再额外支付其他任何费用。</w:t>
      </w:r>
    </w:p>
    <w:p w14:paraId="46253F93">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3. 报价有效性要求：投标人应结合自身运营成本合理报价，报价明显低于成本可能导致投标被否决。评标委员会认为投标人的报价明显低于其他通过符合性审查投标人的平均报价，有可能影响产品质量或不能诚信履约的，将要求其在评标现场合理的时间内提供书面说明；投标人不能提供相关证明材料或说明不被采纳的，评标委员会可将其作为无效投标处理。</w:t>
      </w:r>
    </w:p>
    <w:p w14:paraId="4F0E963A">
      <w:pPr>
        <w:rPr>
          <w:rFonts w:hint="eastAsia" w:ascii="仿宋_GB2312" w:hAnsi="仿宋_GB2312" w:eastAsia="仿宋_GB2312" w:cs="仿宋_GB2312"/>
          <w:sz w:val="30"/>
          <w:szCs w:val="30"/>
        </w:rPr>
      </w:pPr>
    </w:p>
    <w:p w14:paraId="1CB8AE57">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五、付款方式</w:t>
      </w:r>
    </w:p>
    <w:p w14:paraId="63F2D492">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 对账周期：中标人于每月10日前提交上月检验/病理送检项目明细清单，交检验科核对，审核无误后通知中标人开具等额增值税发票，并提交盖章版确认清单。</w:t>
      </w:r>
    </w:p>
    <w:p w14:paraId="4907831F">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 结算规则：采购人以当期收费基准价为基础，按照“应支付检验服务费 = Σ（对应项目基准价 × 实际送检量）× 中标折扣率”计算结算金额。</w:t>
      </w:r>
    </w:p>
    <w:p w14:paraId="2D30C49E">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3. 支付规则：采购人与中标人每月对账、结账一次；采购人收到合法有效发票后30个工作日内，通过银行转账完成费用支付。因中标人原因导致发票不符合税务要求而需重新开具的，支付期限从采购人收到合规发票之日起重新计算。</w:t>
      </w:r>
    </w:p>
    <w:p w14:paraId="64F085BC">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4. 对账争议处理：双方对送检数量、项目或金额存在争议的，以采购人LIS系统记录或检验科书面签收记录为核对依据。争议部分不影响无争议部分的正常结算支付。</w:t>
      </w:r>
    </w:p>
    <w:p w14:paraId="00400DBD">
      <w:pPr>
        <w:rPr>
          <w:rFonts w:hint="eastAsia" w:ascii="仿宋_GB2312" w:hAnsi="仿宋_GB2312" w:eastAsia="仿宋_GB2312" w:cs="仿宋_GB2312"/>
          <w:sz w:val="30"/>
          <w:szCs w:val="30"/>
        </w:rPr>
      </w:pPr>
    </w:p>
    <w:p w14:paraId="50BE3BF1">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六、标本接收及运输要求</w:t>
      </w:r>
    </w:p>
    <w:p w14:paraId="72246EB9">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 收样服务要求：中标人提供每周7天上门收样服务，常规收样时间为每日08:30—17:00，特殊标本、紧急标本提供24小时随叫随到收样服务。国家法定节假日收样安排由双方协商确定，但不得因此影响紧急标本的检测时效。</w:t>
      </w:r>
    </w:p>
    <w:p w14:paraId="4895F051">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 物料支持要求：特殊检查项目所需的采样器、知情同意书、专用患者资料登记申请单等物料，由中标人免费提供。中标人所提供物料须符合国家相关质量标准，因物料质量问题导致标本不合格或检测结果失准的，由中标人承担全部责任。</w:t>
      </w:r>
    </w:p>
    <w:p w14:paraId="54423206">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3. 运输质量要求：中标人配备符合医疗生物安全要求的物流体系，运输车辆取得运输危险性鉴定书，配备专用车载冰箱/保温箱及全程温度监控设备，可导出完整运输温度记录，确保标本接收、运输过程符合检验/病理质量控制要求。中标人须按采购人要求定期提交运输温度监控记录。</w:t>
      </w:r>
    </w:p>
    <w:p w14:paraId="094A397C">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4. 收样人员要求：负责标本接收的工作人员须通过生物安全培训、检验业务培训并考核合格，负责标本质量初检、标识核对、接收登记及规范包装储存。收样人员应保持相对固定，更换人员应提前通知采购人并提交新人员培训合格证明。</w:t>
      </w:r>
    </w:p>
    <w:p w14:paraId="2A20C9C2">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5. 不合格标本处理要求：外送标本不符合检测要求时，中标人须在收样后2小时内通知采购人指定业务联络人，说明不合格原因，由采购人安排重新取样。</w:t>
      </w:r>
    </w:p>
    <w:p w14:paraId="27629B1C">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6. 异常情况处置要求：外送标本在运输过程中出现延迟、遗漏、丢失、破损等情况，中标人须第一时间启动应急预案，及时告知检验科室并提出解决方案，由此产生的经济损失、法律责任均由中标人承担。因标本丢失或延误导致患者诊疗延误或产生医疗纠纷的，中标人须承担相应法律及经济赔偿责任。</w:t>
      </w:r>
    </w:p>
    <w:p w14:paraId="31A46A97">
      <w:pPr>
        <w:rPr>
          <w:rFonts w:hint="eastAsia" w:ascii="仿宋_GB2312" w:hAnsi="仿宋_GB2312" w:eastAsia="仿宋_GB2312" w:cs="仿宋_GB2312"/>
          <w:sz w:val="30"/>
          <w:szCs w:val="30"/>
        </w:rPr>
      </w:pPr>
    </w:p>
    <w:p w14:paraId="192ACF48">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七、检验项目、采集及检验报告要求</w:t>
      </w:r>
    </w:p>
    <w:p w14:paraId="76D965B4">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 标本采集责任划分：采购人按照中标人提供的《检验项目汇总表》要求进行样本采集、贮存；因未按项目要求采集、贮存样本导致结果误差所出现医疗纠纷等不良后果，所有责任及经济赔偿均由采购人承担。因样本运输途中保存不当、检测流程不规范导致结果误差所出现医疗纠纷等不良后果，所有责任及经济赔偿均由中标人承担。</w:t>
      </w:r>
    </w:p>
    <w:p w14:paraId="2A43C345">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 检测及报告签发要求：中标人实验室严格按照《全国临床检验操作规程》（第4版）开展检测工作，检验/病理报告须由具备对应执业资质的技师或医师签发；因检验结果错误导致采购人出现医疗纠纷等不良后果，所有责任及经济赔偿均由中标人承担。</w:t>
      </w:r>
    </w:p>
    <w:p w14:paraId="5E841FB9">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3. 报告时效要求：中标人严格按照提供的《检验项目汇总表》中标注的报告周期出具检验报告，常规项目报告周期不得超过行业通用标准。投标人可在投标文件中承诺较行业通用标准更短的报告周期，中标后须按承诺执行。因不可抗力或设备故障等特殊原因导致报告延迟的，中标人须在第一时间通知采购人并说明预计延迟时间。</w:t>
      </w:r>
    </w:p>
    <w:p w14:paraId="1E3DE66D">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4. 危急值报告要求：检测发现检验/病理危急值时，中标人须在30分钟内通过电话、系统消息双渠道通知检验科或病理科指定业务联络人，确保医疗安全。危急值报告须保留完整的电话录音及系统通知记录，保存期限不少于3年。</w:t>
      </w:r>
    </w:p>
    <w:p w14:paraId="5152B154">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5. 项目动态调整要求：采购人有权根据临床需求、政策变化对外送检验/病理项目进行增减、调整，中标人须无条件配合执行，不得以此为由调整折扣率或服务标准。</w:t>
      </w:r>
    </w:p>
    <w:p w14:paraId="57E9A066">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6. 服务履约要求：中标人不得将外送检验服务项目转包、转送第三方，不得擅自停检已纳入服务范围的项目，否则采购人有权终止合同，并追究中标人违约责任。</w:t>
      </w:r>
    </w:p>
    <w:p w14:paraId="639753BB">
      <w:pPr>
        <w:rPr>
          <w:rFonts w:hint="eastAsia" w:ascii="仿宋_GB2312" w:hAnsi="仿宋_GB2312" w:eastAsia="仿宋_GB2312" w:cs="仿宋_GB2312"/>
          <w:sz w:val="30"/>
          <w:szCs w:val="30"/>
        </w:rPr>
      </w:pPr>
    </w:p>
    <w:p w14:paraId="5F7DD060">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八、团队技术服务支持能力</w:t>
      </w:r>
    </w:p>
    <w:p w14:paraId="0B49834A">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 学科建设支持：中标人须具备专业技术支撑能力，协助本院开展进修培训、继续教育、学术交流活动，提供科研技术指导及人才培养支持，助力本院病理、检验学科建设。具体支持内容及年度计划由双方在合同签订后30日内协商确定，并形成书面年度学科支持方案作为合同附件。</w:t>
      </w:r>
    </w:p>
    <w:p w14:paraId="55A7293E">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 售后服务要求：中标人设立专属服务团队，提供7×24小时热线服务和技术支持，负责处理日常咨询、异常问题响应、满意度随访等售后服务工作。中标人须在投标文件中明确售后响应时限标准及升级投诉处理机制。</w:t>
      </w:r>
    </w:p>
    <w:p w14:paraId="19480C37">
      <w:pPr>
        <w:rPr>
          <w:rFonts w:hint="eastAsia" w:ascii="仿宋_GB2312" w:hAnsi="仿宋_GB2312" w:eastAsia="仿宋_GB2312" w:cs="仿宋_GB2312"/>
          <w:sz w:val="30"/>
          <w:szCs w:val="30"/>
        </w:rPr>
      </w:pPr>
    </w:p>
    <w:p w14:paraId="0B546F96">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九、结果信息查询要求</w:t>
      </w:r>
    </w:p>
    <w:p w14:paraId="609F3B3E">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 系统对接要求：中标人须免费提供信息系统对接服务，实现与采购人HIS、LIS系统的无缝对接，支持检验报告无纸化传输，采购人不承担对接相关费用。系统对接须在合同签订后60日内完成并上线运行。因中标人原因导致对接延迟的，每延迟1日按合同总金额的万分之五支付违约金；因采购人原因导致对接延迟的，服务期限相应顺延。</w:t>
      </w:r>
    </w:p>
    <w:p w14:paraId="17C1E753">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 信息安全要求：中标人所用信息系统须取得信息安全等级保护二级及以上证书，确保数据传输、存储安全。系统须具备完整的数据备份与灾难恢复机制。</w:t>
      </w:r>
    </w:p>
    <w:p w14:paraId="0FDEE1E9">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3. 查询服务要求：中标人提供电话查询、系统平台网上查询服务，支持采购人随时查询送检标本的检测进度、历史结果。查询平台应支持按时间段、患者姓名、住院号、申请科室等多维度检索。</w:t>
      </w:r>
    </w:p>
    <w:p w14:paraId="6CF109B3">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4. 系统支持要求：中标人负责系统的日常维护、升级，免费为采购人相关工作人员提供系统操作培训及技术支持，相关费用已包含在投标报价中。</w:t>
      </w:r>
    </w:p>
    <w:p w14:paraId="27085F2B">
      <w:pPr>
        <w:rPr>
          <w:rFonts w:hint="eastAsia" w:ascii="仿宋_GB2312" w:hAnsi="仿宋_GB2312" w:eastAsia="仿宋_GB2312" w:cs="仿宋_GB2312"/>
          <w:sz w:val="30"/>
          <w:szCs w:val="30"/>
        </w:rPr>
      </w:pPr>
    </w:p>
    <w:p w14:paraId="099F7029">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十、病理专项服务要求</w:t>
      </w:r>
    </w:p>
    <w:p w14:paraId="2DEB991D">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 病理科共建支持：中标人提供病理科远程病理平台建设及运营整体服务支持，采购人负责提供实验室所需场地、水、电、网络基础条件，以及实验室清洁、医疗废物处理、安全保卫、公共设施设备保障。</w:t>
      </w:r>
    </w:p>
    <w:p w14:paraId="451DF583">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 人员派驻要求：</w:t>
      </w:r>
    </w:p>
    <w:p w14:paraId="01F4377A">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xml:space="preserve">   1. 中标人为采购人病理科配备2名病理医师（其中至少1名具备副高级病理专业技术职称，1名具备中级病理专业技术职称）、1名病理技师；</w:t>
      </w:r>
    </w:p>
    <w:p w14:paraId="308AC092">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xml:space="preserve">   2. 派驻人员须在采购人病理科定点执业，负责处理常规病理、冰冻病理诊断及相关日常工作；派驻人员须按国家规定办理</w:t>
      </w:r>
      <w:r>
        <w:rPr>
          <w:rFonts w:hint="eastAsia" w:ascii="仿宋_GB2312" w:hAnsi="仿宋_GB2312" w:eastAsia="仿宋_GB2312" w:cs="仿宋_GB2312"/>
          <w:sz w:val="30"/>
          <w:szCs w:val="30"/>
          <w:lang w:val="en-US" w:eastAsia="zh-CN"/>
        </w:rPr>
        <w:t>定</w:t>
      </w:r>
      <w:r>
        <w:rPr>
          <w:rFonts w:hint="eastAsia" w:ascii="仿宋_GB2312" w:hAnsi="仿宋_GB2312" w:eastAsia="仿宋_GB2312" w:cs="仿宋_GB2312"/>
          <w:sz w:val="30"/>
          <w:szCs w:val="30"/>
        </w:rPr>
        <w:t>点</w:t>
      </w:r>
      <w:r>
        <w:rPr>
          <w:rFonts w:hint="eastAsia" w:ascii="仿宋_GB2312" w:hAnsi="仿宋_GB2312" w:eastAsia="仿宋_GB2312" w:cs="仿宋_GB2312"/>
          <w:sz w:val="30"/>
          <w:szCs w:val="30"/>
          <w:lang w:val="en-US" w:eastAsia="zh-CN"/>
        </w:rPr>
        <w:t>或多点</w:t>
      </w:r>
      <w:r>
        <w:rPr>
          <w:rFonts w:hint="eastAsia" w:ascii="仿宋_GB2312" w:hAnsi="仿宋_GB2312" w:eastAsia="仿宋_GB2312" w:cs="仿宋_GB2312"/>
          <w:sz w:val="30"/>
          <w:szCs w:val="30"/>
        </w:rPr>
        <w:t>执业备案手续</w:t>
      </w: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lang w:val="en-US" w:eastAsia="zh-CN"/>
        </w:rPr>
        <w:t>根据国家、地方政策要求</w:t>
      </w: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rPr>
        <w:t>，未完成备案前不得独立签发病理报告；</w:t>
      </w:r>
    </w:p>
    <w:p w14:paraId="38DD4C32">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xml:space="preserve">   3. 派驻人员的工资报酬、住宿差旅、社会保险等所有费用均由中标人承担；</w:t>
      </w:r>
    </w:p>
    <w:p w14:paraId="6556A55F">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xml:space="preserve">   4. 派驻人员应保持稳定，中标人更换派驻人员须提前30日书面通知采购人并征得采购人同意，接替人员资质不得低于被更换人员。采购人有权对不满足岗位要求的派驻人员提出更换要求，中标人须在30日内完成替换。</w:t>
      </w:r>
    </w:p>
    <w:p w14:paraId="6B01EE8A">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3. 试剂耗材保障：</w:t>
      </w:r>
    </w:p>
    <w:p w14:paraId="74FA603C">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xml:space="preserve">   1. 中标人承担本项目所有病理试剂、常规耗材的采购及费用；</w:t>
      </w:r>
    </w:p>
    <w:p w14:paraId="0AD5A558">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xml:space="preserve">   2. 易燃易爆、腐蚀性等危险化学品试剂耗材，可由采购人代为采购，产生的费用在每月结算款中直接抵扣；</w:t>
      </w:r>
    </w:p>
    <w:p w14:paraId="787EFA6F">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xml:space="preserve">   3. 所有试剂耗材均须符合国家相关规定，纳入采购人试剂耗材管理体系统一管理，确保来源可追溯及在有效期内使用。</w:t>
      </w:r>
    </w:p>
    <w:p w14:paraId="42F6933B">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4. 远程病理服务：中标人搭建远程病理平台，配备权威病理专家团队，提供远程病理诊断、疑难病例会诊服务；如采购人现有设备不满足远程运行要求，中标人须免费补充配齐相关设备。远程病理平台的搭建须在合同签订后90日内完成。</w:t>
      </w:r>
    </w:p>
    <w:p w14:paraId="74DF97F9">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5. 专家会诊支持：中标人每年至少组织2次省级及以上病理专家到本院开展实验室会诊、临床会诊，所涉及的会诊费、差旅费、住宿费等所有费用均由中标人承担。专家会诊的具体时间、主题须提前与采购人协商确定。</w:t>
      </w:r>
    </w:p>
    <w:p w14:paraId="2221E3FB">
      <w:pPr>
        <w:rPr>
          <w:rFonts w:hint="eastAsia" w:ascii="仿宋_GB2312" w:hAnsi="仿宋_GB2312" w:eastAsia="仿宋_GB2312" w:cs="仿宋_GB2312"/>
          <w:sz w:val="30"/>
          <w:szCs w:val="30"/>
        </w:rPr>
      </w:pPr>
    </w:p>
    <w:p w14:paraId="30341211">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十一、保密及合规要求</w:t>
      </w:r>
    </w:p>
    <w:p w14:paraId="6D9B87DB">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 数据保密要求：中标人对委托检验的项目内容、检验结果、患者信息承担保密义务，未经采购人同意不得向任何第三方泄露；检测样本、检测数据的所有权、使用权归采购人所有，未经许可不得挪作他用；中标人须按照采购人要求妥善保存、定期处置检验后样本。合同终止后，中标人须将全部患者检测数据完整移交采购人，并按照采购人要求销毁或移交剩余样本。</w:t>
      </w:r>
    </w:p>
    <w:p w14:paraId="0B2D79BB">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 检验公正性要求：中标人实验室须保证检验结果的独立性、公正性，不受任何外部因素干扰。</w:t>
      </w:r>
    </w:p>
    <w:p w14:paraId="44B1A959">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3. 营销行为约束：中标人营销人员不得绕过本院检验科、病理科，直接向临床科室推广外送项目，不得私自接收临床科室提交的标本，不得违规私自收费。如有违反，每发现一次中标人向采购人支付违约金5万元，累计发生3次及以上采购人有权单方解除合同。</w:t>
      </w:r>
    </w:p>
    <w:p w14:paraId="3D17AAA1">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4. 医保合规要求：中标人不得提供串换项目、套取医保基金的服务项目，如出现医保违规行为，所有责任及处罚均由中标人承担，采购人有权终止合同。</w:t>
      </w:r>
    </w:p>
    <w:p w14:paraId="681D6451">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5. 质控溯源要求：</w:t>
      </w:r>
    </w:p>
    <w:p w14:paraId="21F75A61">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xml:space="preserve">   1. 中标人须按照采购人提供的模板，每季度报送检测量前10位项目（或随机抽样）的原始数据、质控记录，接受采购人的质量监督；</w:t>
      </w:r>
    </w:p>
    <w:p w14:paraId="03A860D5">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xml:space="preserve">   2. 中标人须按照采购人提供的模板，每季度报送检测量前10位项目（或随机抽样）检测所用仪器、试剂、校准品、质控品及耗材的产品注册（备案）证明，确保所有物料在有效期内使用、来源可追溯。</w:t>
      </w:r>
    </w:p>
    <w:p w14:paraId="2053AB63">
      <w:pPr>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 xml:space="preserve">   3. 每年采购人有权利到中标人实验室对上述两点内容进行实地抽查1-2次。</w:t>
      </w:r>
    </w:p>
    <w:p w14:paraId="159D3E2E">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6. 履约保证金要求：中标人在合同签订后15个工作日内，向采购人缴纳履约保证金，金额为合同预算金额的5%（即34.5万元）。履约保证金在合同履行完毕且双方无未了争议后30日内无息退还。中标人出现违约行为的，采购人有权直接从履约保证金中扣除相应违约金，不足部分有权继续向中标人追偿。</w:t>
      </w:r>
    </w:p>
    <w:p w14:paraId="4B1B1D65">
      <w:pPr>
        <w:rPr>
          <w:rFonts w:hint="eastAsia" w:ascii="仿宋_GB2312" w:hAnsi="仿宋_GB2312" w:eastAsia="仿宋_GB2312" w:cs="仿宋_GB2312"/>
          <w:sz w:val="30"/>
          <w:szCs w:val="30"/>
        </w:rPr>
      </w:pPr>
    </w:p>
    <w:p w14:paraId="56FC791F">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十二、争议解决</w:t>
      </w:r>
    </w:p>
    <w:p w14:paraId="3D92824E">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 凡因本合同（包括采购需求）引起的或与本合同有关的任何争议，双方应首先通过友好协商解决。</w:t>
      </w:r>
    </w:p>
    <w:p w14:paraId="751E7BFF">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 协商不成的，任何一方均有权向采购人所在地有管辖权的人民法院提起诉讼。</w:t>
      </w:r>
    </w:p>
    <w:p w14:paraId="66C6431D">
      <w:pPr>
        <w:rPr>
          <w:rFonts w:hint="eastAsia" w:ascii="仿宋_GB2312" w:hAnsi="仿宋_GB2312" w:eastAsia="仿宋_GB2312" w:cs="仿宋_GB2312"/>
          <w:sz w:val="30"/>
          <w:szCs w:val="30"/>
        </w:rPr>
      </w:pPr>
    </w:p>
    <w:p w14:paraId="2F2274E9">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十三、附则</w:t>
      </w:r>
    </w:p>
    <w:p w14:paraId="13598A03">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 本需求中附表1所列为基准服务项目清单，投标人须在投标文件中逐项响应。</w:t>
      </w:r>
    </w:p>
    <w:p w14:paraId="03186787">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 本需求为合同的有效组成部分，与合同具有同等法律效力。本需求内容与合同条款不一致的，以合同条款为准；但合同条款不得实质性改变本需求中的采购要求。</w:t>
      </w:r>
    </w:p>
    <w:p w14:paraId="19227CF1">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3. 本需求中“日”如无特别说明，均为自然日。</w:t>
      </w:r>
    </w:p>
    <w:p w14:paraId="4A5DE687">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4. 本需求解释权归采购人所有。</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5"/>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DF97CFC"/>
    <w:rsid w:val="107D0C83"/>
    <w:rsid w:val="14496F20"/>
    <w:rsid w:val="160A2ECC"/>
    <w:rsid w:val="1FF64400"/>
    <w:rsid w:val="26365A79"/>
    <w:rsid w:val="2AE7191A"/>
    <w:rsid w:val="2BE612C2"/>
    <w:rsid w:val="349E2AC3"/>
    <w:rsid w:val="402C1320"/>
    <w:rsid w:val="47C3099F"/>
    <w:rsid w:val="5A7A2325"/>
    <w:rsid w:val="737C03C8"/>
    <w:rsid w:val="73D22D97"/>
    <w:rsid w:val="7530098F"/>
    <w:rsid w:val="76D90BB3"/>
    <w:rsid w:val="7B3F323A"/>
    <w:rsid w:val="7E017FC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13</Pages>
  <Words>6084</Words>
  <Characters>6207</Characters>
  <Lines>0</Lines>
  <Paragraphs>0</Paragraphs>
  <TotalTime>13</TotalTime>
  <ScaleCrop>false</ScaleCrop>
  <LinksUpToDate>false</LinksUpToDate>
  <CharactersWithSpaces>6331</CharactersWithSpaces>
  <Application>WPS Office_12.1.0.26884_F1E327BC-269C-435d-A152-05C5408002CA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2026-06-26T07:45:00Z</dcterms:created>
  <dc:creator>Lenovo</dc:creator>
  <cp:lastModifiedBy>Administrator</cp:lastModifiedBy>
  <dcterms:modified xsi:type="dcterms:W3CDTF">2026-08-03T07:25:35Z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2052-12.1.0.26884</vt:lpwstr>
  </property>
  <property fmtid="{D5CDD505-2E9C-101B-9397-08002B2CF9AE}" pid="3" name="KSOTemplateDocerSaveRecord">
    <vt:lpwstr>eyJoZGlkIjoiNTQ0ZTE2YmU1ZmJjMTA2NDM0ZGI2MTJlYzViZDJlZWQiLCJ1c2VySWQiOiIxMjE5MDA1Mjc0In0=</vt:lpwstr>
  </property>
  <property fmtid="{D5CDD505-2E9C-101B-9397-08002B2CF9AE}" pid="4" name="ICV">
    <vt:lpwstr>679E97F743074C18B3B4DE79176115EB_13</vt:lpwstr>
  </property>
</Properties>
</file>