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0BC6DD">
      <w:pPr>
        <w:pStyle w:val="4"/>
        <w:widowControl/>
        <w:jc w:val="both"/>
        <w:rPr>
          <w:rFonts w:hint="eastAsia" w:ascii="方正仿宋_GB2312" w:hAnsi="方正仿宋_GB2312" w:eastAsia="方正仿宋_GB2312" w:cs="方正仿宋_GB2312"/>
          <w:color w:val="auto"/>
        </w:rPr>
      </w:pPr>
      <w:r>
        <w:rPr>
          <w:rFonts w:hint="eastAsia" w:ascii="方正仿宋_GB2312" w:hAnsi="方正仿宋_GB2312" w:eastAsia="方正仿宋_GB2312" w:cs="方正仿宋_GB2312"/>
          <w:color w:val="auto"/>
        </w:rPr>
        <w:t>附件 3 食堂服务质量考核表</w:t>
      </w:r>
    </w:p>
    <w:p w14:paraId="158E0D79">
      <w:pPr>
        <w:pStyle w:val="4"/>
        <w:widowControl/>
        <w:rPr>
          <w:rFonts w:hint="eastAsia" w:ascii="方正仿宋_GB2312" w:hAnsi="方正仿宋_GB2312" w:eastAsia="方正仿宋_GB2312" w:cs="方正仿宋_GB2312"/>
          <w:color w:val="auto"/>
        </w:rPr>
      </w:pPr>
      <w:r>
        <w:rPr>
          <w:rFonts w:hint="eastAsia" w:ascii="方正仿宋_GB2312" w:hAnsi="方正仿宋_GB2312" w:eastAsia="方正仿宋_GB2312" w:cs="方正仿宋_GB2312"/>
          <w:color w:val="auto"/>
        </w:rPr>
        <w:t>考核周期：每季度一次；总分：100 分；60 分为及格；考核结果直接作为合同罚则执行依据；本考核表为招租合同不可分割附件。</w:t>
      </w:r>
    </w:p>
    <w:p w14:paraId="2339C864">
      <w:pPr>
        <w:pStyle w:val="5"/>
        <w:widowControl/>
        <w:rPr>
          <w:rFonts w:hint="eastAsia" w:ascii="方正仿宋_GB2312" w:hAnsi="方正仿宋_GB2312" w:eastAsia="方正仿宋_GB2312" w:cs="方正仿宋_GB2312"/>
          <w:color w:val="auto"/>
        </w:rPr>
      </w:pPr>
      <w:bookmarkStart w:id="0" w:name="_GoBack"/>
      <w:bookmarkEnd w:id="0"/>
      <w:r>
        <w:rPr>
          <w:rFonts w:hint="eastAsia" w:ascii="方正仿宋_GB2312" w:hAnsi="方正仿宋_GB2312" w:eastAsia="方正仿宋_GB2312" w:cs="方正仿宋_GB2312"/>
          <w:color w:val="auto"/>
        </w:rPr>
        <w:t>表格</w:t>
      </w:r>
    </w:p>
    <w:p w14:paraId="7D6686AF">
      <w:pPr>
        <w:bidi w:val="0"/>
        <w:rPr>
          <w:rFonts w:hint="eastAsia" w:ascii="方正仿宋_GB2312" w:hAnsi="方正仿宋_GB2312" w:eastAsia="方正仿宋_GB2312" w:cs="方正仿宋_GB2312"/>
          <w:color w:val="auto"/>
        </w:rPr>
      </w:pPr>
    </w:p>
    <w:p w14:paraId="137FC065">
      <w:pPr>
        <w:bidi w:val="0"/>
        <w:rPr>
          <w:rFonts w:hint="eastAsia" w:ascii="方正仿宋_GB2312" w:hAnsi="方正仿宋_GB2312" w:eastAsia="方正仿宋_GB2312" w:cs="方正仿宋_GB2312"/>
          <w:color w:val="auto"/>
        </w:rPr>
      </w:pPr>
    </w:p>
    <w:p w14:paraId="5EA2AEDD">
      <w:pPr>
        <w:bidi w:val="0"/>
        <w:rPr>
          <w:rFonts w:hint="eastAsia" w:ascii="方正仿宋_GB2312" w:hAnsi="方正仿宋_GB2312" w:eastAsia="方正仿宋_GB2312" w:cs="方正仿宋_GB2312"/>
          <w:color w:val="auto"/>
          <w:kern w:val="2"/>
          <w:sz w:val="21"/>
          <w:szCs w:val="24"/>
          <w:lang w:val="en-US" w:eastAsia="zh-CN" w:bidi="ar-SA"/>
        </w:rPr>
      </w:pPr>
    </w:p>
    <w:p w14:paraId="2CBF5E1D">
      <w:pPr>
        <w:bidi w:val="0"/>
        <w:rPr>
          <w:rFonts w:hint="eastAsia" w:ascii="方正仿宋_GB2312" w:hAnsi="方正仿宋_GB2312" w:eastAsia="方正仿宋_GB2312" w:cs="方正仿宋_GB2312"/>
          <w:color w:val="auto"/>
          <w:lang w:val="en-US" w:eastAsia="zh-CN"/>
        </w:rPr>
      </w:pPr>
    </w:p>
    <w:p w14:paraId="58ED4CD5">
      <w:pPr>
        <w:bidi w:val="0"/>
        <w:rPr>
          <w:rFonts w:hint="eastAsia" w:ascii="方正仿宋_GB2312" w:hAnsi="方正仿宋_GB2312" w:eastAsia="方正仿宋_GB2312" w:cs="方正仿宋_GB2312"/>
          <w:color w:val="auto"/>
          <w:lang w:val="en-US" w:eastAsia="zh-CN"/>
        </w:rPr>
      </w:pPr>
    </w:p>
    <w:p w14:paraId="3667545E">
      <w:pPr>
        <w:bidi w:val="0"/>
        <w:rPr>
          <w:rFonts w:hint="eastAsia" w:ascii="方正仿宋_GB2312" w:hAnsi="方正仿宋_GB2312" w:eastAsia="方正仿宋_GB2312" w:cs="方正仿宋_GB2312"/>
          <w:color w:val="auto"/>
          <w:lang w:val="en-US" w:eastAsia="zh-CN"/>
        </w:rPr>
      </w:pPr>
    </w:p>
    <w:p w14:paraId="12A81848">
      <w:pPr>
        <w:bidi w:val="0"/>
        <w:rPr>
          <w:rFonts w:hint="eastAsia" w:ascii="方正仿宋_GB2312" w:hAnsi="方正仿宋_GB2312" w:eastAsia="方正仿宋_GB2312" w:cs="方正仿宋_GB2312"/>
          <w:color w:val="auto"/>
          <w:lang w:val="en-US" w:eastAsia="zh-CN"/>
        </w:rPr>
      </w:pPr>
    </w:p>
    <w:tbl>
      <w:tblPr>
        <w:tblStyle w:val="2"/>
        <w:tblW w:w="5480" w:type="pct"/>
        <w:jc w:val="center"/>
        <w:tblCellSpacing w:w="1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15"/>
        <w:gridCol w:w="663"/>
        <w:gridCol w:w="1933"/>
        <w:gridCol w:w="2610"/>
        <w:gridCol w:w="300"/>
        <w:gridCol w:w="1953"/>
        <w:gridCol w:w="564"/>
        <w:gridCol w:w="865"/>
      </w:tblGrid>
      <w:tr w14:paraId="7C1E62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Header/>
          <w:tblCellSpacing w:w="15" w:type="dxa"/>
          <w:jc w:val="center"/>
        </w:trPr>
        <w:tc>
          <w:tcPr>
            <w:tcW w:w="146" w:type="pct"/>
            <w:shd w:val="clear" w:color="auto" w:fill="auto"/>
            <w:vAlign w:val="center"/>
          </w:tcPr>
          <w:p w14:paraId="4E194589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color w:val="auto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04D2C2CB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color w:val="auto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  <w:t>考核大项</w:t>
            </w:r>
          </w:p>
        </w:tc>
        <w:tc>
          <w:tcPr>
            <w:tcW w:w="1033" w:type="pct"/>
            <w:shd w:val="clear" w:color="auto" w:fill="auto"/>
            <w:vAlign w:val="center"/>
          </w:tcPr>
          <w:p w14:paraId="68F8F8F3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color w:val="auto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  <w:t>考核子项目</w:t>
            </w:r>
          </w:p>
        </w:tc>
        <w:tc>
          <w:tcPr>
            <w:tcW w:w="1401" w:type="pct"/>
            <w:shd w:val="clear" w:color="auto" w:fill="auto"/>
            <w:vAlign w:val="center"/>
          </w:tcPr>
          <w:p w14:paraId="28E3E2D3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color w:val="auto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  <w:t>标准内容</w:t>
            </w:r>
          </w:p>
        </w:tc>
        <w:tc>
          <w:tcPr>
            <w:tcW w:w="146" w:type="pct"/>
            <w:shd w:val="clear" w:color="auto" w:fill="auto"/>
            <w:vAlign w:val="center"/>
          </w:tcPr>
          <w:p w14:paraId="46DFCD0D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color w:val="auto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  <w:t>分值</w:t>
            </w:r>
          </w:p>
        </w:tc>
        <w:tc>
          <w:tcPr>
            <w:tcW w:w="1044" w:type="pct"/>
            <w:shd w:val="clear" w:color="auto" w:fill="auto"/>
            <w:vAlign w:val="center"/>
          </w:tcPr>
          <w:p w14:paraId="69D0E599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color w:val="auto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  <w:t>评分细则</w:t>
            </w:r>
          </w:p>
        </w:tc>
        <w:tc>
          <w:tcPr>
            <w:tcW w:w="290" w:type="pct"/>
            <w:shd w:val="clear" w:color="auto" w:fill="auto"/>
            <w:vAlign w:val="center"/>
          </w:tcPr>
          <w:p w14:paraId="6D965AEF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color w:val="auto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  <w:t>扣分</w:t>
            </w:r>
          </w:p>
        </w:tc>
        <w:tc>
          <w:tcPr>
            <w:tcW w:w="445" w:type="pct"/>
            <w:shd w:val="clear" w:color="auto" w:fill="auto"/>
            <w:vAlign w:val="center"/>
          </w:tcPr>
          <w:p w14:paraId="69A9934D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color w:val="auto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  <w:t>备注</w:t>
            </w:r>
          </w:p>
        </w:tc>
      </w:tr>
      <w:tr w14:paraId="572982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146" w:type="pct"/>
            <w:shd w:val="clear" w:color="auto" w:fill="auto"/>
            <w:vAlign w:val="center"/>
          </w:tcPr>
          <w:p w14:paraId="1C68CB5F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1C1B3969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lang w:val="en-US" w:eastAsia="zh-CN" w:bidi="ar"/>
              </w:rPr>
              <w:t>资质证照情况</w:t>
            </w:r>
          </w:p>
        </w:tc>
        <w:tc>
          <w:tcPr>
            <w:tcW w:w="1033" w:type="pct"/>
            <w:shd w:val="clear" w:color="auto" w:fill="auto"/>
            <w:vAlign w:val="center"/>
          </w:tcPr>
          <w:p w14:paraId="6774DEA1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lang w:val="en-US" w:eastAsia="zh-CN" w:bidi="ar"/>
              </w:rPr>
              <w:t>证照有效性</w:t>
            </w:r>
          </w:p>
        </w:tc>
        <w:tc>
          <w:tcPr>
            <w:tcW w:w="1401" w:type="pct"/>
            <w:shd w:val="clear" w:color="auto" w:fill="auto"/>
            <w:vAlign w:val="center"/>
          </w:tcPr>
          <w:p w14:paraId="18AF5FA9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lang w:val="en-US" w:eastAsia="zh-CN" w:bidi="ar"/>
              </w:rPr>
              <w:t>相关证照是否在有效期内</w:t>
            </w:r>
          </w:p>
        </w:tc>
        <w:tc>
          <w:tcPr>
            <w:tcW w:w="146" w:type="pct"/>
            <w:shd w:val="clear" w:color="auto" w:fill="auto"/>
            <w:vAlign w:val="center"/>
          </w:tcPr>
          <w:p w14:paraId="135A6CB9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1044" w:type="pct"/>
            <w:shd w:val="clear" w:color="auto" w:fill="auto"/>
            <w:vAlign w:val="center"/>
          </w:tcPr>
          <w:p w14:paraId="0CC6431B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lang w:val="en-US" w:eastAsia="zh-CN" w:bidi="ar"/>
              </w:rPr>
              <w:t>在有效期内得 1 分；超过有效期得 0 分</w:t>
            </w:r>
          </w:p>
        </w:tc>
        <w:tc>
          <w:tcPr>
            <w:tcW w:w="290" w:type="pct"/>
            <w:shd w:val="clear" w:color="auto" w:fill="auto"/>
            <w:vAlign w:val="center"/>
          </w:tcPr>
          <w:p w14:paraId="6DB968E2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  <w:szCs w:val="24"/>
              </w:rPr>
            </w:pPr>
          </w:p>
        </w:tc>
        <w:tc>
          <w:tcPr>
            <w:tcW w:w="445" w:type="pct"/>
            <w:shd w:val="clear" w:color="auto" w:fill="auto"/>
            <w:vAlign w:val="center"/>
          </w:tcPr>
          <w:p w14:paraId="45FE6447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  <w:szCs w:val="24"/>
              </w:rPr>
            </w:pPr>
          </w:p>
        </w:tc>
      </w:tr>
      <w:tr w14:paraId="4C5FA0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146" w:type="pct"/>
            <w:shd w:val="clear" w:color="auto" w:fill="auto"/>
            <w:vAlign w:val="center"/>
          </w:tcPr>
          <w:p w14:paraId="79B7D9BE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25A815BC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lang w:val="en-US" w:eastAsia="zh-CN" w:bidi="ar"/>
              </w:rPr>
              <w:t>管理制度情况</w:t>
            </w:r>
          </w:p>
        </w:tc>
        <w:tc>
          <w:tcPr>
            <w:tcW w:w="1033" w:type="pct"/>
            <w:shd w:val="clear" w:color="auto" w:fill="auto"/>
            <w:vAlign w:val="center"/>
          </w:tcPr>
          <w:p w14:paraId="4CA654D5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lang w:val="en-US" w:eastAsia="zh-CN" w:bidi="ar"/>
              </w:rPr>
              <w:t>食品安全管理制度</w:t>
            </w:r>
          </w:p>
        </w:tc>
        <w:tc>
          <w:tcPr>
            <w:tcW w:w="1401" w:type="pct"/>
            <w:shd w:val="clear" w:color="auto" w:fill="auto"/>
            <w:vAlign w:val="center"/>
          </w:tcPr>
          <w:p w14:paraId="4491A65F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lang w:val="en-US" w:eastAsia="zh-CN" w:bidi="ar"/>
              </w:rPr>
              <w:t>1. 建立食品安全管理组织及岗位责任制，落实食品安全责任；2. 建立从业人员健康管理制度及健康档案；3. 建立采购查验、索证索票制度；4. 落实专人采购、专人仓管制度。</w:t>
            </w:r>
          </w:p>
        </w:tc>
        <w:tc>
          <w:tcPr>
            <w:tcW w:w="146" w:type="pct"/>
            <w:shd w:val="clear" w:color="auto" w:fill="auto"/>
            <w:vAlign w:val="center"/>
          </w:tcPr>
          <w:p w14:paraId="74270F50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1044" w:type="pct"/>
            <w:shd w:val="clear" w:color="auto" w:fill="auto"/>
            <w:vAlign w:val="center"/>
          </w:tcPr>
          <w:p w14:paraId="55C2FC11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lang w:val="en-US" w:eastAsia="zh-CN" w:bidi="ar"/>
              </w:rPr>
              <w:t>每发现一项不完整、不规范扣 1 分</w:t>
            </w:r>
          </w:p>
        </w:tc>
        <w:tc>
          <w:tcPr>
            <w:tcW w:w="290" w:type="pct"/>
            <w:shd w:val="clear" w:color="auto" w:fill="auto"/>
            <w:vAlign w:val="center"/>
          </w:tcPr>
          <w:p w14:paraId="3E232F20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  <w:szCs w:val="24"/>
              </w:rPr>
            </w:pPr>
          </w:p>
        </w:tc>
        <w:tc>
          <w:tcPr>
            <w:tcW w:w="445" w:type="pct"/>
            <w:shd w:val="clear" w:color="auto" w:fill="auto"/>
            <w:vAlign w:val="center"/>
          </w:tcPr>
          <w:p w14:paraId="1952A31B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  <w:szCs w:val="24"/>
              </w:rPr>
            </w:pPr>
          </w:p>
        </w:tc>
      </w:tr>
      <w:tr w14:paraId="7710E6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146" w:type="pct"/>
            <w:shd w:val="clear" w:color="auto" w:fill="auto"/>
            <w:vAlign w:val="center"/>
          </w:tcPr>
          <w:p w14:paraId="67E3BAEB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  <w:szCs w:val="24"/>
              </w:rPr>
            </w:pPr>
          </w:p>
        </w:tc>
        <w:tc>
          <w:tcPr>
            <w:tcW w:w="343" w:type="pct"/>
            <w:shd w:val="clear" w:color="auto" w:fill="auto"/>
            <w:vAlign w:val="center"/>
          </w:tcPr>
          <w:p w14:paraId="6C142A4E">
            <w:pPr>
              <w:keepNext/>
              <w:snapToGrid w:val="0"/>
              <w:ind w:left="0" w:leftChars="0" w:right="0" w:rightChars="0" w:firstLine="0" w:firstLineChars="0"/>
              <w:jc w:val="left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  <w:szCs w:val="24"/>
              </w:rPr>
            </w:pPr>
          </w:p>
        </w:tc>
        <w:tc>
          <w:tcPr>
            <w:tcW w:w="1033" w:type="pct"/>
            <w:shd w:val="clear" w:color="auto" w:fill="auto"/>
            <w:vAlign w:val="center"/>
          </w:tcPr>
          <w:p w14:paraId="291D2131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lang w:val="en-US" w:eastAsia="zh-CN" w:bidi="ar"/>
              </w:rPr>
              <w:t>消防安全及应急预案</w:t>
            </w:r>
          </w:p>
        </w:tc>
        <w:tc>
          <w:tcPr>
            <w:tcW w:w="1401" w:type="pct"/>
            <w:shd w:val="clear" w:color="auto" w:fill="auto"/>
            <w:vAlign w:val="center"/>
          </w:tcPr>
          <w:p w14:paraId="6B3FF91A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lang w:val="en-US" w:eastAsia="zh-CN" w:bidi="ar"/>
              </w:rPr>
              <w:t>1. 建立消防安全管理制度；2. 编制食物中毒、消防灾害等突发事件应急预案。</w:t>
            </w:r>
          </w:p>
        </w:tc>
        <w:tc>
          <w:tcPr>
            <w:tcW w:w="146" w:type="pct"/>
            <w:shd w:val="clear" w:color="auto" w:fill="auto"/>
            <w:vAlign w:val="center"/>
          </w:tcPr>
          <w:p w14:paraId="760E49E0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1044" w:type="pct"/>
            <w:shd w:val="clear" w:color="auto" w:fill="auto"/>
            <w:vAlign w:val="center"/>
          </w:tcPr>
          <w:p w14:paraId="64B76590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lang w:val="en-US" w:eastAsia="zh-CN" w:bidi="ar"/>
              </w:rPr>
              <w:t>每发现一处不完整、不规范扣 1 分</w:t>
            </w:r>
          </w:p>
        </w:tc>
        <w:tc>
          <w:tcPr>
            <w:tcW w:w="290" w:type="pct"/>
            <w:shd w:val="clear" w:color="auto" w:fill="auto"/>
            <w:vAlign w:val="center"/>
          </w:tcPr>
          <w:p w14:paraId="26D29779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  <w:szCs w:val="24"/>
              </w:rPr>
            </w:pPr>
          </w:p>
        </w:tc>
        <w:tc>
          <w:tcPr>
            <w:tcW w:w="445" w:type="pct"/>
            <w:shd w:val="clear" w:color="auto" w:fill="auto"/>
            <w:vAlign w:val="center"/>
          </w:tcPr>
          <w:p w14:paraId="2E9A1519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  <w:szCs w:val="24"/>
              </w:rPr>
            </w:pPr>
          </w:p>
        </w:tc>
      </w:tr>
      <w:tr w14:paraId="750971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146" w:type="pct"/>
            <w:shd w:val="clear" w:color="auto" w:fill="auto"/>
            <w:vAlign w:val="center"/>
          </w:tcPr>
          <w:p w14:paraId="1A682CE6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1357D73A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lang w:val="en-US" w:eastAsia="zh-CN" w:bidi="ar"/>
              </w:rPr>
              <w:t>从业人员情况</w:t>
            </w:r>
          </w:p>
        </w:tc>
        <w:tc>
          <w:tcPr>
            <w:tcW w:w="1033" w:type="pct"/>
            <w:shd w:val="clear" w:color="auto" w:fill="auto"/>
            <w:vAlign w:val="center"/>
          </w:tcPr>
          <w:p w14:paraId="43067733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lang w:val="en-US" w:eastAsia="zh-CN" w:bidi="ar"/>
              </w:rPr>
              <w:t>从业人员健康合格证明情况</w:t>
            </w:r>
          </w:p>
        </w:tc>
        <w:tc>
          <w:tcPr>
            <w:tcW w:w="1401" w:type="pct"/>
            <w:shd w:val="clear" w:color="auto" w:fill="auto"/>
            <w:vAlign w:val="center"/>
          </w:tcPr>
          <w:p w14:paraId="58448ECC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lang w:val="en-US" w:eastAsia="zh-CN" w:bidi="ar"/>
              </w:rPr>
              <w:t>1. 全员持有有效健康合格证明；2. 技术工种取得对应资质证明。</w:t>
            </w:r>
          </w:p>
        </w:tc>
        <w:tc>
          <w:tcPr>
            <w:tcW w:w="146" w:type="pct"/>
            <w:shd w:val="clear" w:color="auto" w:fill="auto"/>
            <w:vAlign w:val="center"/>
          </w:tcPr>
          <w:p w14:paraId="2F726C69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1044" w:type="pct"/>
            <w:shd w:val="clear" w:color="auto" w:fill="auto"/>
            <w:vAlign w:val="center"/>
          </w:tcPr>
          <w:p w14:paraId="1A37479B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lang w:val="en-US" w:eastAsia="zh-CN" w:bidi="ar"/>
              </w:rPr>
              <w:t>每发现 1 人无有效健康合格证明扣 1 分</w:t>
            </w:r>
          </w:p>
        </w:tc>
        <w:tc>
          <w:tcPr>
            <w:tcW w:w="290" w:type="pct"/>
            <w:shd w:val="clear" w:color="auto" w:fill="auto"/>
            <w:vAlign w:val="center"/>
          </w:tcPr>
          <w:p w14:paraId="2B80B4D7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  <w:szCs w:val="24"/>
              </w:rPr>
            </w:pPr>
          </w:p>
        </w:tc>
        <w:tc>
          <w:tcPr>
            <w:tcW w:w="445" w:type="pct"/>
            <w:shd w:val="clear" w:color="auto" w:fill="auto"/>
            <w:vAlign w:val="center"/>
          </w:tcPr>
          <w:p w14:paraId="7A889433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  <w:szCs w:val="24"/>
              </w:rPr>
            </w:pPr>
          </w:p>
        </w:tc>
      </w:tr>
      <w:tr w14:paraId="68CFA5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146" w:type="pct"/>
            <w:shd w:val="clear" w:color="auto" w:fill="auto"/>
            <w:vAlign w:val="center"/>
          </w:tcPr>
          <w:p w14:paraId="708DF228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  <w:szCs w:val="24"/>
              </w:rPr>
            </w:pPr>
          </w:p>
        </w:tc>
        <w:tc>
          <w:tcPr>
            <w:tcW w:w="343" w:type="pct"/>
            <w:shd w:val="clear" w:color="auto" w:fill="auto"/>
            <w:vAlign w:val="center"/>
          </w:tcPr>
          <w:p w14:paraId="458183A8">
            <w:pPr>
              <w:keepNext/>
              <w:snapToGrid w:val="0"/>
              <w:ind w:left="0" w:leftChars="0" w:right="0" w:rightChars="0" w:firstLine="0" w:firstLineChars="0"/>
              <w:jc w:val="left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  <w:szCs w:val="24"/>
              </w:rPr>
            </w:pPr>
          </w:p>
        </w:tc>
        <w:tc>
          <w:tcPr>
            <w:tcW w:w="1033" w:type="pct"/>
            <w:shd w:val="clear" w:color="auto" w:fill="auto"/>
            <w:vAlign w:val="center"/>
          </w:tcPr>
          <w:p w14:paraId="6D2E1124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lang w:val="en-US" w:eastAsia="zh-CN" w:bidi="ar"/>
              </w:rPr>
              <w:t>接触直接入口食品操作人员健康情况</w:t>
            </w:r>
          </w:p>
        </w:tc>
        <w:tc>
          <w:tcPr>
            <w:tcW w:w="1401" w:type="pct"/>
            <w:shd w:val="clear" w:color="auto" w:fill="auto"/>
            <w:vAlign w:val="center"/>
          </w:tcPr>
          <w:p w14:paraId="6A33D314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lang w:val="en-US" w:eastAsia="zh-CN" w:bidi="ar"/>
              </w:rPr>
              <w:t>是否患有有碍食品安全的疾病</w:t>
            </w:r>
          </w:p>
        </w:tc>
        <w:tc>
          <w:tcPr>
            <w:tcW w:w="146" w:type="pct"/>
            <w:shd w:val="clear" w:color="auto" w:fill="auto"/>
            <w:vAlign w:val="center"/>
          </w:tcPr>
          <w:p w14:paraId="3D9534E0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1044" w:type="pct"/>
            <w:shd w:val="clear" w:color="auto" w:fill="auto"/>
            <w:vAlign w:val="center"/>
          </w:tcPr>
          <w:p w14:paraId="39172E22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lang w:val="en-US" w:eastAsia="zh-CN" w:bidi="ar"/>
              </w:rPr>
              <w:t>每发现 1 人不符合要求扣 2 分</w:t>
            </w:r>
          </w:p>
        </w:tc>
        <w:tc>
          <w:tcPr>
            <w:tcW w:w="290" w:type="pct"/>
            <w:shd w:val="clear" w:color="auto" w:fill="auto"/>
            <w:vAlign w:val="center"/>
          </w:tcPr>
          <w:p w14:paraId="05D44A64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  <w:szCs w:val="24"/>
              </w:rPr>
            </w:pPr>
          </w:p>
        </w:tc>
        <w:tc>
          <w:tcPr>
            <w:tcW w:w="445" w:type="pct"/>
            <w:shd w:val="clear" w:color="auto" w:fill="auto"/>
            <w:vAlign w:val="center"/>
          </w:tcPr>
          <w:p w14:paraId="0B146E7D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  <w:szCs w:val="24"/>
              </w:rPr>
            </w:pPr>
          </w:p>
        </w:tc>
      </w:tr>
      <w:tr w14:paraId="0F4C91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146" w:type="pct"/>
            <w:shd w:val="clear" w:color="auto" w:fill="auto"/>
            <w:vAlign w:val="center"/>
          </w:tcPr>
          <w:p w14:paraId="7DDC6063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  <w:szCs w:val="24"/>
              </w:rPr>
            </w:pPr>
          </w:p>
        </w:tc>
        <w:tc>
          <w:tcPr>
            <w:tcW w:w="343" w:type="pct"/>
            <w:shd w:val="clear" w:color="auto" w:fill="auto"/>
            <w:vAlign w:val="center"/>
          </w:tcPr>
          <w:p w14:paraId="29AC9E8D">
            <w:pPr>
              <w:keepNext/>
              <w:snapToGrid w:val="0"/>
              <w:ind w:left="0" w:leftChars="0" w:right="0" w:rightChars="0" w:firstLine="0" w:firstLineChars="0"/>
              <w:jc w:val="left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  <w:szCs w:val="24"/>
              </w:rPr>
            </w:pPr>
          </w:p>
        </w:tc>
        <w:tc>
          <w:tcPr>
            <w:tcW w:w="1033" w:type="pct"/>
            <w:shd w:val="clear" w:color="auto" w:fill="auto"/>
            <w:vAlign w:val="center"/>
          </w:tcPr>
          <w:p w14:paraId="0F24B4A3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lang w:val="en-US" w:eastAsia="zh-CN" w:bidi="ar"/>
              </w:rPr>
              <w:t>接触直接入口食品操作规范</w:t>
            </w:r>
          </w:p>
        </w:tc>
        <w:tc>
          <w:tcPr>
            <w:tcW w:w="1401" w:type="pct"/>
            <w:shd w:val="clear" w:color="auto" w:fill="auto"/>
            <w:vAlign w:val="center"/>
          </w:tcPr>
          <w:p w14:paraId="2247F45D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lang w:val="en-US" w:eastAsia="zh-CN" w:bidi="ar"/>
              </w:rPr>
              <w:t>1. 规范佩戴口罩、工作帽；2. 接触直接入口食品前洗手消毒。</w:t>
            </w:r>
          </w:p>
        </w:tc>
        <w:tc>
          <w:tcPr>
            <w:tcW w:w="146" w:type="pct"/>
            <w:shd w:val="clear" w:color="auto" w:fill="auto"/>
            <w:vAlign w:val="center"/>
          </w:tcPr>
          <w:p w14:paraId="234D0BA2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1044" w:type="pct"/>
            <w:shd w:val="clear" w:color="auto" w:fill="auto"/>
            <w:vAlign w:val="center"/>
          </w:tcPr>
          <w:p w14:paraId="567F0141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lang w:val="en-US" w:eastAsia="zh-CN" w:bidi="ar"/>
              </w:rPr>
              <w:t>每发现 1 人不符合要求扣 1 分</w:t>
            </w:r>
          </w:p>
        </w:tc>
        <w:tc>
          <w:tcPr>
            <w:tcW w:w="290" w:type="pct"/>
            <w:shd w:val="clear" w:color="auto" w:fill="auto"/>
            <w:vAlign w:val="center"/>
          </w:tcPr>
          <w:p w14:paraId="57185F21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  <w:szCs w:val="24"/>
              </w:rPr>
            </w:pPr>
          </w:p>
        </w:tc>
        <w:tc>
          <w:tcPr>
            <w:tcW w:w="445" w:type="pct"/>
            <w:shd w:val="clear" w:color="auto" w:fill="auto"/>
            <w:vAlign w:val="center"/>
          </w:tcPr>
          <w:p w14:paraId="243EC445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  <w:szCs w:val="24"/>
              </w:rPr>
            </w:pPr>
          </w:p>
        </w:tc>
      </w:tr>
      <w:tr w14:paraId="73C409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146" w:type="pct"/>
            <w:shd w:val="clear" w:color="auto" w:fill="auto"/>
            <w:vAlign w:val="center"/>
          </w:tcPr>
          <w:p w14:paraId="256A8C83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  <w:szCs w:val="24"/>
              </w:rPr>
            </w:pPr>
          </w:p>
        </w:tc>
        <w:tc>
          <w:tcPr>
            <w:tcW w:w="343" w:type="pct"/>
            <w:shd w:val="clear" w:color="auto" w:fill="auto"/>
            <w:vAlign w:val="center"/>
          </w:tcPr>
          <w:p w14:paraId="20A62BAE">
            <w:pPr>
              <w:keepNext/>
              <w:snapToGrid w:val="0"/>
              <w:ind w:left="0" w:leftChars="0" w:right="0" w:rightChars="0" w:firstLine="0" w:firstLineChars="0"/>
              <w:jc w:val="left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  <w:szCs w:val="24"/>
              </w:rPr>
            </w:pPr>
          </w:p>
        </w:tc>
        <w:tc>
          <w:tcPr>
            <w:tcW w:w="1033" w:type="pct"/>
            <w:shd w:val="clear" w:color="auto" w:fill="auto"/>
            <w:vAlign w:val="center"/>
          </w:tcPr>
          <w:p w14:paraId="18D1DB48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lang w:val="en-US" w:eastAsia="zh-CN" w:bidi="ar"/>
              </w:rPr>
              <w:t>操作人员个人卫生情况</w:t>
            </w:r>
          </w:p>
        </w:tc>
        <w:tc>
          <w:tcPr>
            <w:tcW w:w="1401" w:type="pct"/>
            <w:shd w:val="clear" w:color="auto" w:fill="auto"/>
            <w:vAlign w:val="center"/>
          </w:tcPr>
          <w:p w14:paraId="45857645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lang w:val="en-US" w:eastAsia="zh-CN" w:bidi="ar"/>
              </w:rPr>
              <w:t>1. 操作穿戴清洁工作服、工作帽；2. 操作期间严禁抽烟；3. 不留长指甲、不涂指甲油、不佩戴饰物；4. 手部破损落实有效防污染措施。</w:t>
            </w:r>
          </w:p>
        </w:tc>
        <w:tc>
          <w:tcPr>
            <w:tcW w:w="146" w:type="pct"/>
            <w:shd w:val="clear" w:color="auto" w:fill="auto"/>
            <w:vAlign w:val="center"/>
          </w:tcPr>
          <w:p w14:paraId="7F093A2D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1044" w:type="pct"/>
            <w:shd w:val="clear" w:color="auto" w:fill="auto"/>
            <w:vAlign w:val="center"/>
          </w:tcPr>
          <w:p w14:paraId="454139C2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lang w:val="en-US" w:eastAsia="zh-CN" w:bidi="ar"/>
              </w:rPr>
              <w:t>每发现 1 人不符合要求扣 1 分</w:t>
            </w:r>
          </w:p>
        </w:tc>
        <w:tc>
          <w:tcPr>
            <w:tcW w:w="290" w:type="pct"/>
            <w:shd w:val="clear" w:color="auto" w:fill="auto"/>
            <w:vAlign w:val="center"/>
          </w:tcPr>
          <w:p w14:paraId="5DA2FC9A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  <w:szCs w:val="24"/>
              </w:rPr>
            </w:pPr>
          </w:p>
        </w:tc>
        <w:tc>
          <w:tcPr>
            <w:tcW w:w="445" w:type="pct"/>
            <w:shd w:val="clear" w:color="auto" w:fill="auto"/>
            <w:vAlign w:val="center"/>
          </w:tcPr>
          <w:p w14:paraId="62E640E1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  <w:szCs w:val="24"/>
              </w:rPr>
            </w:pPr>
          </w:p>
        </w:tc>
      </w:tr>
      <w:tr w14:paraId="274E29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146" w:type="pct"/>
            <w:shd w:val="clear" w:color="auto" w:fill="auto"/>
            <w:vAlign w:val="center"/>
          </w:tcPr>
          <w:p w14:paraId="39CF1F43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  <w:szCs w:val="24"/>
              </w:rPr>
            </w:pPr>
          </w:p>
        </w:tc>
        <w:tc>
          <w:tcPr>
            <w:tcW w:w="343" w:type="pct"/>
            <w:shd w:val="clear" w:color="auto" w:fill="auto"/>
            <w:vAlign w:val="center"/>
          </w:tcPr>
          <w:p w14:paraId="6E73EAAE">
            <w:pPr>
              <w:keepNext/>
              <w:snapToGrid w:val="0"/>
              <w:ind w:left="0" w:leftChars="0" w:right="0" w:rightChars="0" w:firstLine="0" w:firstLineChars="0"/>
              <w:jc w:val="left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  <w:szCs w:val="24"/>
              </w:rPr>
            </w:pPr>
          </w:p>
        </w:tc>
        <w:tc>
          <w:tcPr>
            <w:tcW w:w="1033" w:type="pct"/>
            <w:shd w:val="clear" w:color="auto" w:fill="auto"/>
            <w:vAlign w:val="center"/>
          </w:tcPr>
          <w:p w14:paraId="1BA8DB4B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lang w:val="en-US" w:eastAsia="zh-CN" w:bidi="ar"/>
              </w:rPr>
              <w:t>培训教育情况</w:t>
            </w:r>
          </w:p>
        </w:tc>
        <w:tc>
          <w:tcPr>
            <w:tcW w:w="1401" w:type="pct"/>
            <w:shd w:val="clear" w:color="auto" w:fill="auto"/>
            <w:vAlign w:val="center"/>
          </w:tcPr>
          <w:p w14:paraId="53C97A9E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lang w:val="en-US" w:eastAsia="zh-CN" w:bidi="ar"/>
              </w:rPr>
              <w:t>1. 组织从业人员开展食品安全、消防安全培训；2. 建立完整培训档案。</w:t>
            </w:r>
          </w:p>
        </w:tc>
        <w:tc>
          <w:tcPr>
            <w:tcW w:w="146" w:type="pct"/>
            <w:shd w:val="clear" w:color="auto" w:fill="auto"/>
            <w:vAlign w:val="center"/>
          </w:tcPr>
          <w:p w14:paraId="400CAE92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1044" w:type="pct"/>
            <w:shd w:val="clear" w:color="auto" w:fill="auto"/>
            <w:vAlign w:val="center"/>
          </w:tcPr>
          <w:p w14:paraId="5C691DC8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lang w:val="en-US" w:eastAsia="zh-CN" w:bidi="ar"/>
              </w:rPr>
              <w:t>每缺一项扣 1 分</w:t>
            </w:r>
          </w:p>
        </w:tc>
        <w:tc>
          <w:tcPr>
            <w:tcW w:w="290" w:type="pct"/>
            <w:shd w:val="clear" w:color="auto" w:fill="auto"/>
            <w:vAlign w:val="center"/>
          </w:tcPr>
          <w:p w14:paraId="510D9D6D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  <w:szCs w:val="24"/>
              </w:rPr>
            </w:pPr>
          </w:p>
        </w:tc>
        <w:tc>
          <w:tcPr>
            <w:tcW w:w="445" w:type="pct"/>
            <w:shd w:val="clear" w:color="auto" w:fill="auto"/>
            <w:vAlign w:val="center"/>
          </w:tcPr>
          <w:p w14:paraId="09ED1EAE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  <w:szCs w:val="24"/>
              </w:rPr>
            </w:pPr>
          </w:p>
        </w:tc>
      </w:tr>
      <w:tr w14:paraId="35888B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146" w:type="pct"/>
            <w:shd w:val="clear" w:color="auto" w:fill="auto"/>
            <w:vAlign w:val="center"/>
          </w:tcPr>
          <w:p w14:paraId="033B74D5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5A0ED81F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lang w:val="en-US" w:eastAsia="zh-CN" w:bidi="ar"/>
              </w:rPr>
              <w:t>场所卫生和设施设备情况</w:t>
            </w:r>
          </w:p>
        </w:tc>
        <w:tc>
          <w:tcPr>
            <w:tcW w:w="1033" w:type="pct"/>
            <w:shd w:val="clear" w:color="auto" w:fill="auto"/>
            <w:vAlign w:val="center"/>
          </w:tcPr>
          <w:p w14:paraId="407A3AA1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lang w:val="en-US" w:eastAsia="zh-CN" w:bidi="ar"/>
              </w:rPr>
              <w:t>加工经营场所内外环境情况</w:t>
            </w:r>
          </w:p>
        </w:tc>
        <w:tc>
          <w:tcPr>
            <w:tcW w:w="1401" w:type="pct"/>
            <w:shd w:val="clear" w:color="auto" w:fill="auto"/>
            <w:vAlign w:val="center"/>
          </w:tcPr>
          <w:p w14:paraId="7245078E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lang w:val="en-US" w:eastAsia="zh-CN" w:bidi="ar"/>
              </w:rPr>
              <w:t>1. 墙壁、天花板、门窗清洁，无蜘蛛网、霉斑、明显积垢；2. 地面洁净，无积水油污，排水沟渠通畅；3. 垃圾废弃物及时清理；4. 存放设施密闭，外观清洁无斑迹；5. 水、气管道及封口无灰尘油迹；6. 餐桌干净卫生；7. 无鼠虫孳生痕迹。</w:t>
            </w:r>
          </w:p>
        </w:tc>
        <w:tc>
          <w:tcPr>
            <w:tcW w:w="146" w:type="pct"/>
            <w:shd w:val="clear" w:color="auto" w:fill="auto"/>
            <w:vAlign w:val="center"/>
          </w:tcPr>
          <w:p w14:paraId="1F03CD23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lang w:val="en-US" w:eastAsia="zh-CN" w:bidi="ar"/>
              </w:rPr>
              <w:t>10</w:t>
            </w:r>
          </w:p>
        </w:tc>
        <w:tc>
          <w:tcPr>
            <w:tcW w:w="1044" w:type="pct"/>
            <w:shd w:val="clear" w:color="auto" w:fill="auto"/>
            <w:vAlign w:val="center"/>
          </w:tcPr>
          <w:p w14:paraId="3CAA22FE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lang w:val="en-US" w:eastAsia="zh-CN" w:bidi="ar"/>
              </w:rPr>
              <w:t>每发现一处不规范扣 2 分</w:t>
            </w:r>
          </w:p>
        </w:tc>
        <w:tc>
          <w:tcPr>
            <w:tcW w:w="290" w:type="pct"/>
            <w:shd w:val="clear" w:color="auto" w:fill="auto"/>
            <w:vAlign w:val="center"/>
          </w:tcPr>
          <w:p w14:paraId="7D376A38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  <w:szCs w:val="24"/>
              </w:rPr>
            </w:pPr>
          </w:p>
        </w:tc>
        <w:tc>
          <w:tcPr>
            <w:tcW w:w="445" w:type="pct"/>
            <w:shd w:val="clear" w:color="auto" w:fill="auto"/>
            <w:vAlign w:val="center"/>
          </w:tcPr>
          <w:p w14:paraId="5D64C62A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  <w:szCs w:val="24"/>
              </w:rPr>
            </w:pPr>
          </w:p>
        </w:tc>
      </w:tr>
      <w:tr w14:paraId="4807C2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146" w:type="pct"/>
            <w:shd w:val="clear" w:color="auto" w:fill="auto"/>
            <w:vAlign w:val="center"/>
          </w:tcPr>
          <w:p w14:paraId="7DE0D221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  <w:szCs w:val="24"/>
              </w:rPr>
            </w:pPr>
          </w:p>
        </w:tc>
        <w:tc>
          <w:tcPr>
            <w:tcW w:w="343" w:type="pct"/>
            <w:shd w:val="clear" w:color="auto" w:fill="auto"/>
            <w:vAlign w:val="center"/>
          </w:tcPr>
          <w:p w14:paraId="23D9C50A">
            <w:pPr>
              <w:keepNext/>
              <w:snapToGrid w:val="0"/>
              <w:ind w:left="0" w:leftChars="0" w:right="0" w:rightChars="0" w:firstLine="0" w:firstLineChars="0"/>
              <w:jc w:val="left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  <w:szCs w:val="24"/>
              </w:rPr>
            </w:pPr>
          </w:p>
        </w:tc>
        <w:tc>
          <w:tcPr>
            <w:tcW w:w="1033" w:type="pct"/>
            <w:shd w:val="clear" w:color="auto" w:fill="auto"/>
            <w:vAlign w:val="center"/>
          </w:tcPr>
          <w:p w14:paraId="201DB4C9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lang w:val="en-US" w:eastAsia="zh-CN" w:bidi="ar"/>
              </w:rPr>
              <w:t>食品加工贮存等设施设备运行情况</w:t>
            </w:r>
          </w:p>
        </w:tc>
        <w:tc>
          <w:tcPr>
            <w:tcW w:w="1401" w:type="pct"/>
            <w:shd w:val="clear" w:color="auto" w:fill="auto"/>
            <w:vAlign w:val="center"/>
          </w:tcPr>
          <w:p w14:paraId="5F0B2D10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lang w:val="en-US" w:eastAsia="zh-CN" w:bidi="ar"/>
              </w:rPr>
              <w:t>1. 防蝇、防鼠、防尘设施完好有效；2. 各类设备正常运转使用；3. 餐具设施不得挪作他用。</w:t>
            </w:r>
          </w:p>
        </w:tc>
        <w:tc>
          <w:tcPr>
            <w:tcW w:w="146" w:type="pct"/>
            <w:shd w:val="clear" w:color="auto" w:fill="auto"/>
            <w:vAlign w:val="center"/>
          </w:tcPr>
          <w:p w14:paraId="5D448A03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1044" w:type="pct"/>
            <w:shd w:val="clear" w:color="auto" w:fill="auto"/>
            <w:vAlign w:val="center"/>
          </w:tcPr>
          <w:p w14:paraId="47C652EF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lang w:val="en-US" w:eastAsia="zh-CN" w:bidi="ar"/>
              </w:rPr>
              <w:t>每发现一处不规范扣 1 分</w:t>
            </w:r>
          </w:p>
        </w:tc>
        <w:tc>
          <w:tcPr>
            <w:tcW w:w="290" w:type="pct"/>
            <w:shd w:val="clear" w:color="auto" w:fill="auto"/>
            <w:vAlign w:val="center"/>
          </w:tcPr>
          <w:p w14:paraId="76EB7451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  <w:szCs w:val="24"/>
              </w:rPr>
            </w:pPr>
          </w:p>
        </w:tc>
        <w:tc>
          <w:tcPr>
            <w:tcW w:w="445" w:type="pct"/>
            <w:shd w:val="clear" w:color="auto" w:fill="auto"/>
            <w:vAlign w:val="center"/>
          </w:tcPr>
          <w:p w14:paraId="22B952E9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  <w:szCs w:val="24"/>
              </w:rPr>
            </w:pPr>
          </w:p>
        </w:tc>
      </w:tr>
      <w:tr w14:paraId="7045C3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146" w:type="pct"/>
            <w:shd w:val="clear" w:color="auto" w:fill="auto"/>
            <w:vAlign w:val="center"/>
          </w:tcPr>
          <w:p w14:paraId="7E62707D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  <w:szCs w:val="24"/>
              </w:rPr>
            </w:pPr>
          </w:p>
        </w:tc>
        <w:tc>
          <w:tcPr>
            <w:tcW w:w="343" w:type="pct"/>
            <w:shd w:val="clear" w:color="auto" w:fill="auto"/>
            <w:vAlign w:val="center"/>
          </w:tcPr>
          <w:p w14:paraId="46F2B245">
            <w:pPr>
              <w:keepNext/>
              <w:snapToGrid w:val="0"/>
              <w:ind w:left="0" w:leftChars="0" w:right="0" w:rightChars="0" w:firstLine="0" w:firstLineChars="0"/>
              <w:jc w:val="left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  <w:szCs w:val="24"/>
              </w:rPr>
            </w:pPr>
          </w:p>
        </w:tc>
        <w:tc>
          <w:tcPr>
            <w:tcW w:w="1033" w:type="pct"/>
            <w:shd w:val="clear" w:color="auto" w:fill="auto"/>
            <w:vAlign w:val="center"/>
          </w:tcPr>
          <w:p w14:paraId="77BAC890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lang w:val="en-US" w:eastAsia="zh-CN" w:bidi="ar"/>
              </w:rPr>
              <w:t>加工工具、贮存容器情况</w:t>
            </w:r>
          </w:p>
        </w:tc>
        <w:tc>
          <w:tcPr>
            <w:tcW w:w="1401" w:type="pct"/>
            <w:shd w:val="clear" w:color="auto" w:fill="auto"/>
            <w:vAlign w:val="center"/>
          </w:tcPr>
          <w:p w14:paraId="563A67AD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lang w:val="en-US" w:eastAsia="zh-CN" w:bidi="ar"/>
              </w:rPr>
              <w:t>1. 餐具做到每餐消毒；2. 工用具、容器无毒无害；3. 一次性餐具合格，无发霉不洁情况。</w:t>
            </w:r>
          </w:p>
        </w:tc>
        <w:tc>
          <w:tcPr>
            <w:tcW w:w="146" w:type="pct"/>
            <w:shd w:val="clear" w:color="auto" w:fill="auto"/>
            <w:vAlign w:val="center"/>
          </w:tcPr>
          <w:p w14:paraId="347FED0E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1044" w:type="pct"/>
            <w:shd w:val="clear" w:color="auto" w:fill="auto"/>
            <w:vAlign w:val="center"/>
          </w:tcPr>
          <w:p w14:paraId="64A0AFC6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lang w:val="en-US" w:eastAsia="zh-CN" w:bidi="ar"/>
              </w:rPr>
              <w:t>每发现一处不规范扣 2 分</w:t>
            </w:r>
          </w:p>
        </w:tc>
        <w:tc>
          <w:tcPr>
            <w:tcW w:w="290" w:type="pct"/>
            <w:shd w:val="clear" w:color="auto" w:fill="auto"/>
            <w:vAlign w:val="center"/>
          </w:tcPr>
          <w:p w14:paraId="4C6D32A4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  <w:szCs w:val="24"/>
              </w:rPr>
            </w:pPr>
          </w:p>
        </w:tc>
        <w:tc>
          <w:tcPr>
            <w:tcW w:w="445" w:type="pct"/>
            <w:shd w:val="clear" w:color="auto" w:fill="auto"/>
            <w:vAlign w:val="center"/>
          </w:tcPr>
          <w:p w14:paraId="05EC0265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  <w:szCs w:val="24"/>
              </w:rPr>
            </w:pPr>
          </w:p>
        </w:tc>
      </w:tr>
      <w:tr w14:paraId="43F5E8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146" w:type="pct"/>
            <w:shd w:val="clear" w:color="auto" w:fill="auto"/>
            <w:vAlign w:val="center"/>
          </w:tcPr>
          <w:p w14:paraId="7A4F79FD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2060DBBE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lang w:val="en-US" w:eastAsia="zh-CN" w:bidi="ar"/>
              </w:rPr>
              <w:t>食品及食品原料采购贮存经营使用情况</w:t>
            </w:r>
          </w:p>
        </w:tc>
        <w:tc>
          <w:tcPr>
            <w:tcW w:w="1033" w:type="pct"/>
            <w:shd w:val="clear" w:color="auto" w:fill="auto"/>
            <w:vAlign w:val="center"/>
          </w:tcPr>
          <w:p w14:paraId="06BB6897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lang w:val="en-US" w:eastAsia="zh-CN" w:bidi="ar"/>
              </w:rPr>
              <w:t>食品及原料情况</w:t>
            </w:r>
          </w:p>
        </w:tc>
        <w:tc>
          <w:tcPr>
            <w:tcW w:w="1401" w:type="pct"/>
            <w:shd w:val="clear" w:color="auto" w:fill="auto"/>
            <w:vAlign w:val="center"/>
          </w:tcPr>
          <w:p w14:paraId="51E781ED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lang w:val="en-US" w:eastAsia="zh-CN" w:bidi="ar"/>
              </w:rPr>
              <w:t>1. 食品制作加工不使用非食用物质，不滥用食品添加剂；2. 不使用禁止生产经营的食品及原料。</w:t>
            </w:r>
          </w:p>
        </w:tc>
        <w:tc>
          <w:tcPr>
            <w:tcW w:w="146" w:type="pct"/>
            <w:shd w:val="clear" w:color="auto" w:fill="auto"/>
            <w:vAlign w:val="center"/>
          </w:tcPr>
          <w:p w14:paraId="3195B14E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1044" w:type="pct"/>
            <w:shd w:val="clear" w:color="auto" w:fill="auto"/>
            <w:vAlign w:val="center"/>
          </w:tcPr>
          <w:p w14:paraId="7306C680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lang w:val="en-US" w:eastAsia="zh-CN" w:bidi="ar"/>
              </w:rPr>
              <w:t>每发现一处不规范扣 2 分</w:t>
            </w:r>
          </w:p>
        </w:tc>
        <w:tc>
          <w:tcPr>
            <w:tcW w:w="290" w:type="pct"/>
            <w:shd w:val="clear" w:color="auto" w:fill="auto"/>
            <w:vAlign w:val="center"/>
          </w:tcPr>
          <w:p w14:paraId="5479C255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  <w:szCs w:val="24"/>
              </w:rPr>
            </w:pPr>
          </w:p>
        </w:tc>
        <w:tc>
          <w:tcPr>
            <w:tcW w:w="445" w:type="pct"/>
            <w:shd w:val="clear" w:color="auto" w:fill="auto"/>
            <w:vAlign w:val="center"/>
          </w:tcPr>
          <w:p w14:paraId="281C85E8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  <w:szCs w:val="24"/>
              </w:rPr>
            </w:pPr>
          </w:p>
        </w:tc>
      </w:tr>
      <w:tr w14:paraId="744FE4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146" w:type="pct"/>
            <w:shd w:val="clear" w:color="auto" w:fill="auto"/>
            <w:vAlign w:val="center"/>
          </w:tcPr>
          <w:p w14:paraId="524B5FF2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  <w:szCs w:val="24"/>
              </w:rPr>
            </w:pPr>
          </w:p>
        </w:tc>
        <w:tc>
          <w:tcPr>
            <w:tcW w:w="343" w:type="pct"/>
            <w:shd w:val="clear" w:color="auto" w:fill="auto"/>
            <w:vAlign w:val="center"/>
          </w:tcPr>
          <w:p w14:paraId="0AF2325A">
            <w:pPr>
              <w:keepNext/>
              <w:snapToGrid w:val="0"/>
              <w:ind w:left="0" w:leftChars="0" w:right="0" w:rightChars="0" w:firstLine="0" w:firstLineChars="0"/>
              <w:jc w:val="left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  <w:szCs w:val="24"/>
              </w:rPr>
            </w:pPr>
          </w:p>
        </w:tc>
        <w:tc>
          <w:tcPr>
            <w:tcW w:w="1033" w:type="pct"/>
            <w:shd w:val="clear" w:color="auto" w:fill="auto"/>
            <w:vAlign w:val="center"/>
          </w:tcPr>
          <w:p w14:paraId="5A41B67D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lang w:val="en-US" w:eastAsia="zh-CN" w:bidi="ar"/>
              </w:rPr>
              <w:t>食品经营和使用行为</w:t>
            </w:r>
          </w:p>
        </w:tc>
        <w:tc>
          <w:tcPr>
            <w:tcW w:w="1401" w:type="pct"/>
            <w:shd w:val="clear" w:color="auto" w:fill="auto"/>
            <w:vAlign w:val="center"/>
          </w:tcPr>
          <w:p w14:paraId="4664773B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lang w:val="en-US" w:eastAsia="zh-CN" w:bidi="ar"/>
              </w:rPr>
              <w:t>1. 不使用被包装材料、容器、运输工具污染的食品；2. 食堂加工食品不得违规对外销售；3. 不在食品中添加非食用物质。</w:t>
            </w:r>
          </w:p>
        </w:tc>
        <w:tc>
          <w:tcPr>
            <w:tcW w:w="146" w:type="pct"/>
            <w:shd w:val="clear" w:color="auto" w:fill="auto"/>
            <w:vAlign w:val="center"/>
          </w:tcPr>
          <w:p w14:paraId="35DF4FD5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1044" w:type="pct"/>
            <w:shd w:val="clear" w:color="auto" w:fill="auto"/>
            <w:vAlign w:val="center"/>
          </w:tcPr>
          <w:p w14:paraId="0558E795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lang w:val="en-US" w:eastAsia="zh-CN" w:bidi="ar"/>
              </w:rPr>
              <w:t>每发现一处不规范扣 2 分</w:t>
            </w:r>
          </w:p>
        </w:tc>
        <w:tc>
          <w:tcPr>
            <w:tcW w:w="290" w:type="pct"/>
            <w:shd w:val="clear" w:color="auto" w:fill="auto"/>
            <w:vAlign w:val="center"/>
          </w:tcPr>
          <w:p w14:paraId="059D533A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  <w:szCs w:val="24"/>
              </w:rPr>
            </w:pPr>
          </w:p>
        </w:tc>
        <w:tc>
          <w:tcPr>
            <w:tcW w:w="445" w:type="pct"/>
            <w:shd w:val="clear" w:color="auto" w:fill="auto"/>
            <w:vAlign w:val="center"/>
          </w:tcPr>
          <w:p w14:paraId="633CEF15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  <w:szCs w:val="24"/>
              </w:rPr>
            </w:pPr>
          </w:p>
        </w:tc>
      </w:tr>
      <w:tr w14:paraId="13F458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146" w:type="pct"/>
            <w:shd w:val="clear" w:color="auto" w:fill="auto"/>
            <w:vAlign w:val="center"/>
          </w:tcPr>
          <w:p w14:paraId="792EDD43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  <w:szCs w:val="24"/>
              </w:rPr>
            </w:pPr>
          </w:p>
        </w:tc>
        <w:tc>
          <w:tcPr>
            <w:tcW w:w="343" w:type="pct"/>
            <w:shd w:val="clear" w:color="auto" w:fill="auto"/>
            <w:vAlign w:val="center"/>
          </w:tcPr>
          <w:p w14:paraId="72B1E7D8">
            <w:pPr>
              <w:keepNext/>
              <w:snapToGrid w:val="0"/>
              <w:ind w:left="0" w:leftChars="0" w:right="0" w:rightChars="0" w:firstLine="0" w:firstLineChars="0"/>
              <w:jc w:val="left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  <w:szCs w:val="24"/>
              </w:rPr>
            </w:pPr>
          </w:p>
        </w:tc>
        <w:tc>
          <w:tcPr>
            <w:tcW w:w="1033" w:type="pct"/>
            <w:shd w:val="clear" w:color="auto" w:fill="auto"/>
            <w:vAlign w:val="center"/>
          </w:tcPr>
          <w:p w14:paraId="4FB281E1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lang w:val="en-US" w:eastAsia="zh-CN" w:bidi="ar"/>
              </w:rPr>
              <w:t>食品原料贮存情况</w:t>
            </w:r>
          </w:p>
        </w:tc>
        <w:tc>
          <w:tcPr>
            <w:tcW w:w="1401" w:type="pct"/>
            <w:shd w:val="clear" w:color="auto" w:fill="auto"/>
            <w:vAlign w:val="center"/>
          </w:tcPr>
          <w:p w14:paraId="090CDE79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lang w:val="en-US" w:eastAsia="zh-CN" w:bidi="ar"/>
              </w:rPr>
              <w:t>1. 贮存场所、设备不存放有毒有害物品及个人生活用品；2. 食品原料分类、分架、隔墙、离地存放；3. 库房无潮湿、虫害；4. 定期检查库存，及时清理变质、过期食品。</w:t>
            </w:r>
          </w:p>
        </w:tc>
        <w:tc>
          <w:tcPr>
            <w:tcW w:w="146" w:type="pct"/>
            <w:shd w:val="clear" w:color="auto" w:fill="auto"/>
            <w:vAlign w:val="center"/>
          </w:tcPr>
          <w:p w14:paraId="0D0EB5A5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1044" w:type="pct"/>
            <w:shd w:val="clear" w:color="auto" w:fill="auto"/>
            <w:vAlign w:val="center"/>
          </w:tcPr>
          <w:p w14:paraId="04420B08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lang w:val="en-US" w:eastAsia="zh-CN" w:bidi="ar"/>
              </w:rPr>
              <w:t>每发现一处不规范扣 1 分</w:t>
            </w:r>
          </w:p>
        </w:tc>
        <w:tc>
          <w:tcPr>
            <w:tcW w:w="290" w:type="pct"/>
            <w:shd w:val="clear" w:color="auto" w:fill="auto"/>
            <w:vAlign w:val="center"/>
          </w:tcPr>
          <w:p w14:paraId="327FEBBF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  <w:szCs w:val="24"/>
              </w:rPr>
            </w:pPr>
          </w:p>
        </w:tc>
        <w:tc>
          <w:tcPr>
            <w:tcW w:w="445" w:type="pct"/>
            <w:shd w:val="clear" w:color="auto" w:fill="auto"/>
            <w:vAlign w:val="center"/>
          </w:tcPr>
          <w:p w14:paraId="4159EE84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  <w:szCs w:val="24"/>
              </w:rPr>
            </w:pPr>
          </w:p>
        </w:tc>
      </w:tr>
      <w:tr w14:paraId="0D17EC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146" w:type="pct"/>
            <w:shd w:val="clear" w:color="auto" w:fill="auto"/>
            <w:vAlign w:val="center"/>
          </w:tcPr>
          <w:p w14:paraId="6E9A31ED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  <w:szCs w:val="24"/>
              </w:rPr>
            </w:pPr>
          </w:p>
        </w:tc>
        <w:tc>
          <w:tcPr>
            <w:tcW w:w="343" w:type="pct"/>
            <w:shd w:val="clear" w:color="auto" w:fill="auto"/>
            <w:vAlign w:val="center"/>
          </w:tcPr>
          <w:p w14:paraId="35A1551D">
            <w:pPr>
              <w:keepNext/>
              <w:snapToGrid w:val="0"/>
              <w:ind w:left="0" w:leftChars="0" w:right="0" w:rightChars="0" w:firstLine="0" w:firstLineChars="0"/>
              <w:jc w:val="left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  <w:szCs w:val="24"/>
              </w:rPr>
            </w:pPr>
          </w:p>
        </w:tc>
        <w:tc>
          <w:tcPr>
            <w:tcW w:w="1033" w:type="pct"/>
            <w:shd w:val="clear" w:color="auto" w:fill="auto"/>
            <w:vAlign w:val="center"/>
          </w:tcPr>
          <w:p w14:paraId="1F062960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lang w:val="en-US" w:eastAsia="zh-CN" w:bidi="ar"/>
              </w:rPr>
              <w:t>食品添加剂存放情况</w:t>
            </w:r>
          </w:p>
        </w:tc>
        <w:tc>
          <w:tcPr>
            <w:tcW w:w="1401" w:type="pct"/>
            <w:shd w:val="clear" w:color="auto" w:fill="auto"/>
            <w:vAlign w:val="center"/>
          </w:tcPr>
          <w:p w14:paraId="1B615F38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lang w:val="en-US" w:eastAsia="zh-CN" w:bidi="ar"/>
              </w:rPr>
              <w:t>1. 存放于专用橱柜；2. 标识 “食品添加剂” 字样；3. 落实专人保管；4. 使用计量工具称量并建立使用台账。</w:t>
            </w:r>
          </w:p>
        </w:tc>
        <w:tc>
          <w:tcPr>
            <w:tcW w:w="146" w:type="pct"/>
            <w:shd w:val="clear" w:color="auto" w:fill="auto"/>
            <w:vAlign w:val="center"/>
          </w:tcPr>
          <w:p w14:paraId="29FA5119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1044" w:type="pct"/>
            <w:shd w:val="clear" w:color="auto" w:fill="auto"/>
            <w:vAlign w:val="center"/>
          </w:tcPr>
          <w:p w14:paraId="79FAA5AC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lang w:val="en-US" w:eastAsia="zh-CN" w:bidi="ar"/>
              </w:rPr>
              <w:t>每发现一处不规范扣 1 分</w:t>
            </w:r>
          </w:p>
        </w:tc>
        <w:tc>
          <w:tcPr>
            <w:tcW w:w="290" w:type="pct"/>
            <w:shd w:val="clear" w:color="auto" w:fill="auto"/>
            <w:vAlign w:val="center"/>
          </w:tcPr>
          <w:p w14:paraId="6DC0FE2A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  <w:szCs w:val="24"/>
              </w:rPr>
            </w:pPr>
          </w:p>
        </w:tc>
        <w:tc>
          <w:tcPr>
            <w:tcW w:w="445" w:type="pct"/>
            <w:shd w:val="clear" w:color="auto" w:fill="auto"/>
            <w:vAlign w:val="center"/>
          </w:tcPr>
          <w:p w14:paraId="6F2DAAD2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  <w:szCs w:val="24"/>
              </w:rPr>
            </w:pPr>
          </w:p>
        </w:tc>
      </w:tr>
      <w:tr w14:paraId="0C8891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146" w:type="pct"/>
            <w:shd w:val="clear" w:color="auto" w:fill="auto"/>
            <w:vAlign w:val="center"/>
          </w:tcPr>
          <w:p w14:paraId="68DEBF17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lang w:val="en-US" w:eastAsia="zh-CN" w:bidi="ar"/>
              </w:rPr>
              <w:t>6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5FBAA867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lang w:val="en-US" w:eastAsia="zh-CN" w:bidi="ar"/>
              </w:rPr>
              <w:t>加工操作情况</w:t>
            </w:r>
          </w:p>
        </w:tc>
        <w:tc>
          <w:tcPr>
            <w:tcW w:w="1033" w:type="pct"/>
            <w:shd w:val="clear" w:color="auto" w:fill="auto"/>
            <w:vAlign w:val="center"/>
          </w:tcPr>
          <w:p w14:paraId="795CFE9D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lang w:val="en-US" w:eastAsia="zh-CN" w:bidi="ar"/>
              </w:rPr>
              <w:t>加工工具设备标志、使用存放清洁情况</w:t>
            </w:r>
          </w:p>
        </w:tc>
        <w:tc>
          <w:tcPr>
            <w:tcW w:w="1401" w:type="pct"/>
            <w:shd w:val="clear" w:color="auto" w:fill="auto"/>
            <w:vAlign w:val="center"/>
          </w:tcPr>
          <w:p w14:paraId="7BD00334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lang w:val="en-US" w:eastAsia="zh-CN" w:bidi="ar"/>
              </w:rPr>
              <w:t>1. 粗加工水池标识清晰，荤素食品分开清洗；2. 生熟容器、工用具设置明显区分标识，分开使用、定位存放；3. 冷藏冷冻设备成品、半成品、原料分开存放并标识；4. 接触直接入口食品工具设备使用前消毒。</w:t>
            </w:r>
          </w:p>
        </w:tc>
        <w:tc>
          <w:tcPr>
            <w:tcW w:w="146" w:type="pct"/>
            <w:shd w:val="clear" w:color="auto" w:fill="auto"/>
            <w:vAlign w:val="center"/>
          </w:tcPr>
          <w:p w14:paraId="6F832D19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1044" w:type="pct"/>
            <w:shd w:val="clear" w:color="auto" w:fill="auto"/>
            <w:vAlign w:val="center"/>
          </w:tcPr>
          <w:p w14:paraId="5F3F0FED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lang w:val="en-US" w:eastAsia="zh-CN" w:bidi="ar"/>
              </w:rPr>
              <w:t>每发现一处不规范扣 2 分</w:t>
            </w:r>
          </w:p>
        </w:tc>
        <w:tc>
          <w:tcPr>
            <w:tcW w:w="290" w:type="pct"/>
            <w:shd w:val="clear" w:color="auto" w:fill="auto"/>
            <w:vAlign w:val="center"/>
          </w:tcPr>
          <w:p w14:paraId="3AFD7599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  <w:szCs w:val="24"/>
              </w:rPr>
            </w:pPr>
          </w:p>
        </w:tc>
        <w:tc>
          <w:tcPr>
            <w:tcW w:w="445" w:type="pct"/>
            <w:shd w:val="clear" w:color="auto" w:fill="auto"/>
            <w:vAlign w:val="center"/>
          </w:tcPr>
          <w:p w14:paraId="007E7839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  <w:szCs w:val="24"/>
              </w:rPr>
            </w:pPr>
          </w:p>
        </w:tc>
      </w:tr>
      <w:tr w14:paraId="385F94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146" w:type="pct"/>
            <w:shd w:val="clear" w:color="auto" w:fill="auto"/>
            <w:vAlign w:val="center"/>
          </w:tcPr>
          <w:p w14:paraId="18E45236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  <w:szCs w:val="24"/>
              </w:rPr>
            </w:pPr>
          </w:p>
        </w:tc>
        <w:tc>
          <w:tcPr>
            <w:tcW w:w="343" w:type="pct"/>
            <w:shd w:val="clear" w:color="auto" w:fill="auto"/>
            <w:vAlign w:val="center"/>
          </w:tcPr>
          <w:p w14:paraId="6C26D677">
            <w:pPr>
              <w:keepNext/>
              <w:snapToGrid w:val="0"/>
              <w:ind w:left="0" w:leftChars="0" w:right="0" w:rightChars="0" w:firstLine="0" w:firstLineChars="0"/>
              <w:jc w:val="left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  <w:szCs w:val="24"/>
              </w:rPr>
            </w:pPr>
          </w:p>
        </w:tc>
        <w:tc>
          <w:tcPr>
            <w:tcW w:w="1033" w:type="pct"/>
            <w:shd w:val="clear" w:color="auto" w:fill="auto"/>
            <w:vAlign w:val="center"/>
          </w:tcPr>
          <w:p w14:paraId="739F421D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lang w:val="en-US" w:eastAsia="zh-CN" w:bidi="ar"/>
              </w:rPr>
              <w:t>食品原料使用情况</w:t>
            </w:r>
          </w:p>
        </w:tc>
        <w:tc>
          <w:tcPr>
            <w:tcW w:w="1401" w:type="pct"/>
            <w:shd w:val="clear" w:color="auto" w:fill="auto"/>
            <w:vAlign w:val="center"/>
          </w:tcPr>
          <w:p w14:paraId="29FC2536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lang w:val="en-US" w:eastAsia="zh-CN" w:bidi="ar"/>
              </w:rPr>
              <w:t>1. 不加工使用腐败变质食品原料；2. 不加工使用过期食品原料；3. 不加工使用感官性状异常食品原料。</w:t>
            </w:r>
          </w:p>
        </w:tc>
        <w:tc>
          <w:tcPr>
            <w:tcW w:w="146" w:type="pct"/>
            <w:shd w:val="clear" w:color="auto" w:fill="auto"/>
            <w:vAlign w:val="center"/>
          </w:tcPr>
          <w:p w14:paraId="6DF31AC9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lang w:val="en-US" w:eastAsia="zh-CN" w:bidi="ar"/>
              </w:rPr>
              <w:t>8</w:t>
            </w:r>
          </w:p>
        </w:tc>
        <w:tc>
          <w:tcPr>
            <w:tcW w:w="1044" w:type="pct"/>
            <w:shd w:val="clear" w:color="auto" w:fill="auto"/>
            <w:vAlign w:val="center"/>
          </w:tcPr>
          <w:p w14:paraId="05DA8032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lang w:val="en-US" w:eastAsia="zh-CN" w:bidi="ar"/>
              </w:rPr>
              <w:t>每发现一处不规范扣 4 分</w:t>
            </w:r>
          </w:p>
        </w:tc>
        <w:tc>
          <w:tcPr>
            <w:tcW w:w="290" w:type="pct"/>
            <w:shd w:val="clear" w:color="auto" w:fill="auto"/>
            <w:vAlign w:val="center"/>
          </w:tcPr>
          <w:p w14:paraId="7C13DA92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  <w:szCs w:val="24"/>
              </w:rPr>
            </w:pPr>
          </w:p>
        </w:tc>
        <w:tc>
          <w:tcPr>
            <w:tcW w:w="445" w:type="pct"/>
            <w:shd w:val="clear" w:color="auto" w:fill="auto"/>
            <w:vAlign w:val="center"/>
          </w:tcPr>
          <w:p w14:paraId="73493EE6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  <w:szCs w:val="24"/>
              </w:rPr>
            </w:pPr>
          </w:p>
        </w:tc>
      </w:tr>
      <w:tr w14:paraId="66DF92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146" w:type="pct"/>
            <w:shd w:val="clear" w:color="auto" w:fill="auto"/>
            <w:vAlign w:val="center"/>
          </w:tcPr>
          <w:p w14:paraId="77AFAB8A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  <w:szCs w:val="24"/>
              </w:rPr>
            </w:pPr>
          </w:p>
        </w:tc>
        <w:tc>
          <w:tcPr>
            <w:tcW w:w="343" w:type="pct"/>
            <w:shd w:val="clear" w:color="auto" w:fill="auto"/>
            <w:vAlign w:val="center"/>
          </w:tcPr>
          <w:p w14:paraId="55010F65">
            <w:pPr>
              <w:keepNext/>
              <w:snapToGrid w:val="0"/>
              <w:ind w:left="0" w:leftChars="0" w:right="0" w:rightChars="0" w:firstLine="0" w:firstLineChars="0"/>
              <w:jc w:val="left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  <w:szCs w:val="24"/>
              </w:rPr>
            </w:pPr>
          </w:p>
        </w:tc>
        <w:tc>
          <w:tcPr>
            <w:tcW w:w="1033" w:type="pct"/>
            <w:shd w:val="clear" w:color="auto" w:fill="auto"/>
            <w:vAlign w:val="center"/>
          </w:tcPr>
          <w:p w14:paraId="2CA84F4A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lang w:val="en-US" w:eastAsia="zh-CN" w:bidi="ar"/>
              </w:rPr>
              <w:t>食品烹饪过程</w:t>
            </w:r>
          </w:p>
        </w:tc>
        <w:tc>
          <w:tcPr>
            <w:tcW w:w="1401" w:type="pct"/>
            <w:shd w:val="clear" w:color="auto" w:fill="auto"/>
            <w:vAlign w:val="center"/>
          </w:tcPr>
          <w:p w14:paraId="7047B0B0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lang w:val="en-US" w:eastAsia="zh-CN" w:bidi="ar"/>
              </w:rPr>
              <w:t>1. 需要熟制加工食品烧熟煮透；2. 熟制品存放温度、时间符合规范；3. 直接入口食品、半成品、原料分开存放；4. 餐具、盛装食品容器不得直接放置地面；5. 回收、隔夜食品不得加工后再次销售。</w:t>
            </w:r>
          </w:p>
        </w:tc>
        <w:tc>
          <w:tcPr>
            <w:tcW w:w="146" w:type="pct"/>
            <w:shd w:val="clear" w:color="auto" w:fill="auto"/>
            <w:vAlign w:val="center"/>
          </w:tcPr>
          <w:p w14:paraId="2FFA59CE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1044" w:type="pct"/>
            <w:shd w:val="clear" w:color="auto" w:fill="auto"/>
            <w:vAlign w:val="center"/>
          </w:tcPr>
          <w:p w14:paraId="4E2A6B43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lang w:val="en-US" w:eastAsia="zh-CN" w:bidi="ar"/>
              </w:rPr>
              <w:t>每发现一处不规范扣 2 分</w:t>
            </w:r>
          </w:p>
        </w:tc>
        <w:tc>
          <w:tcPr>
            <w:tcW w:w="290" w:type="pct"/>
            <w:shd w:val="clear" w:color="auto" w:fill="auto"/>
            <w:vAlign w:val="center"/>
          </w:tcPr>
          <w:p w14:paraId="5F7D1896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  <w:szCs w:val="24"/>
              </w:rPr>
            </w:pPr>
          </w:p>
        </w:tc>
        <w:tc>
          <w:tcPr>
            <w:tcW w:w="445" w:type="pct"/>
            <w:shd w:val="clear" w:color="auto" w:fill="auto"/>
            <w:vAlign w:val="center"/>
          </w:tcPr>
          <w:p w14:paraId="2A1CFA17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  <w:szCs w:val="24"/>
              </w:rPr>
            </w:pPr>
          </w:p>
        </w:tc>
      </w:tr>
      <w:tr w14:paraId="75E3E5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146" w:type="pct"/>
            <w:shd w:val="clear" w:color="auto" w:fill="auto"/>
            <w:vAlign w:val="center"/>
          </w:tcPr>
          <w:p w14:paraId="13970525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lang w:val="en-US" w:eastAsia="zh-CN" w:bidi="ar"/>
              </w:rPr>
              <w:t>7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07A92FB5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lang w:val="en-US" w:eastAsia="zh-CN" w:bidi="ar"/>
              </w:rPr>
              <w:t>专间情况</w:t>
            </w:r>
          </w:p>
        </w:tc>
        <w:tc>
          <w:tcPr>
            <w:tcW w:w="1033" w:type="pct"/>
            <w:shd w:val="clear" w:color="auto" w:fill="auto"/>
            <w:vAlign w:val="center"/>
          </w:tcPr>
          <w:p w14:paraId="4EC8C769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lang w:val="en-US" w:eastAsia="zh-CN" w:bidi="ar"/>
              </w:rPr>
              <w:t>专间符合规范要求情况</w:t>
            </w:r>
          </w:p>
        </w:tc>
        <w:tc>
          <w:tcPr>
            <w:tcW w:w="1401" w:type="pct"/>
            <w:shd w:val="clear" w:color="auto" w:fill="auto"/>
            <w:vAlign w:val="center"/>
          </w:tcPr>
          <w:p w14:paraId="4500740F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lang w:val="en-US" w:eastAsia="zh-CN" w:bidi="ar"/>
              </w:rPr>
              <w:t>1. 禁止非操作人员擅自进入专间，不在专间开展无关活动；2. 专间不存放非直接入口食品、未清洗果蔬及杂物；3. 每次使用前开展空气、操作台消毒；4. 专间温度控制在 25℃以下。</w:t>
            </w:r>
          </w:p>
        </w:tc>
        <w:tc>
          <w:tcPr>
            <w:tcW w:w="146" w:type="pct"/>
            <w:shd w:val="clear" w:color="auto" w:fill="auto"/>
            <w:vAlign w:val="center"/>
          </w:tcPr>
          <w:p w14:paraId="07634F79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1044" w:type="pct"/>
            <w:shd w:val="clear" w:color="auto" w:fill="auto"/>
            <w:vAlign w:val="center"/>
          </w:tcPr>
          <w:p w14:paraId="0EFDBD86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lang w:val="en-US" w:eastAsia="zh-CN" w:bidi="ar"/>
              </w:rPr>
              <w:t>每发现一处不规范扣 1 分</w:t>
            </w:r>
          </w:p>
        </w:tc>
        <w:tc>
          <w:tcPr>
            <w:tcW w:w="290" w:type="pct"/>
            <w:shd w:val="clear" w:color="auto" w:fill="auto"/>
            <w:vAlign w:val="center"/>
          </w:tcPr>
          <w:p w14:paraId="6245F103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  <w:szCs w:val="24"/>
              </w:rPr>
            </w:pPr>
          </w:p>
        </w:tc>
        <w:tc>
          <w:tcPr>
            <w:tcW w:w="445" w:type="pct"/>
            <w:shd w:val="clear" w:color="auto" w:fill="auto"/>
            <w:vAlign w:val="center"/>
          </w:tcPr>
          <w:p w14:paraId="10988A1C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  <w:szCs w:val="24"/>
              </w:rPr>
            </w:pPr>
          </w:p>
        </w:tc>
      </w:tr>
      <w:tr w14:paraId="57C926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146" w:type="pct"/>
            <w:shd w:val="clear" w:color="auto" w:fill="auto"/>
            <w:vAlign w:val="center"/>
          </w:tcPr>
          <w:p w14:paraId="6817A040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  <w:szCs w:val="24"/>
              </w:rPr>
            </w:pPr>
          </w:p>
        </w:tc>
        <w:tc>
          <w:tcPr>
            <w:tcW w:w="343" w:type="pct"/>
            <w:shd w:val="clear" w:color="auto" w:fill="auto"/>
            <w:vAlign w:val="center"/>
          </w:tcPr>
          <w:p w14:paraId="02A7B89D">
            <w:pPr>
              <w:keepNext/>
              <w:snapToGrid w:val="0"/>
              <w:ind w:left="0" w:leftChars="0" w:right="0" w:rightChars="0" w:firstLine="0" w:firstLineChars="0"/>
              <w:jc w:val="left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  <w:szCs w:val="24"/>
              </w:rPr>
            </w:pPr>
          </w:p>
        </w:tc>
        <w:tc>
          <w:tcPr>
            <w:tcW w:w="1033" w:type="pct"/>
            <w:shd w:val="clear" w:color="auto" w:fill="auto"/>
            <w:vAlign w:val="center"/>
          </w:tcPr>
          <w:p w14:paraId="7B288A1E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lang w:val="en-US" w:eastAsia="zh-CN" w:bidi="ar"/>
              </w:rPr>
              <w:t>专间内食品存放情况</w:t>
            </w:r>
          </w:p>
        </w:tc>
        <w:tc>
          <w:tcPr>
            <w:tcW w:w="1401" w:type="pct"/>
            <w:shd w:val="clear" w:color="auto" w:fill="auto"/>
            <w:vAlign w:val="center"/>
          </w:tcPr>
          <w:p w14:paraId="681091DB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lang w:val="en-US" w:eastAsia="zh-CN" w:bidi="ar"/>
              </w:rPr>
              <w:t>剩余待使用直接入口食品存放专用冰箱冷藏或冷冻。</w:t>
            </w:r>
          </w:p>
        </w:tc>
        <w:tc>
          <w:tcPr>
            <w:tcW w:w="146" w:type="pct"/>
            <w:shd w:val="clear" w:color="auto" w:fill="auto"/>
            <w:vAlign w:val="center"/>
          </w:tcPr>
          <w:p w14:paraId="5234F6C2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1044" w:type="pct"/>
            <w:shd w:val="clear" w:color="auto" w:fill="auto"/>
            <w:vAlign w:val="center"/>
          </w:tcPr>
          <w:p w14:paraId="56BF5005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lang w:val="en-US" w:eastAsia="zh-CN" w:bidi="ar"/>
              </w:rPr>
              <w:t>不符合扣 3 分</w:t>
            </w:r>
          </w:p>
        </w:tc>
        <w:tc>
          <w:tcPr>
            <w:tcW w:w="290" w:type="pct"/>
            <w:shd w:val="clear" w:color="auto" w:fill="auto"/>
            <w:vAlign w:val="center"/>
          </w:tcPr>
          <w:p w14:paraId="771A9B7F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  <w:szCs w:val="24"/>
              </w:rPr>
            </w:pPr>
          </w:p>
        </w:tc>
        <w:tc>
          <w:tcPr>
            <w:tcW w:w="445" w:type="pct"/>
            <w:shd w:val="clear" w:color="auto" w:fill="auto"/>
            <w:vAlign w:val="center"/>
          </w:tcPr>
          <w:p w14:paraId="4E33A01E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  <w:szCs w:val="24"/>
              </w:rPr>
            </w:pPr>
          </w:p>
        </w:tc>
      </w:tr>
      <w:tr w14:paraId="203BFA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146" w:type="pct"/>
            <w:shd w:val="clear" w:color="auto" w:fill="auto"/>
            <w:vAlign w:val="center"/>
          </w:tcPr>
          <w:p w14:paraId="7562CEFF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lang w:val="en-US" w:eastAsia="zh-CN" w:bidi="ar"/>
              </w:rPr>
              <w:t>8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3A96F210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lang w:val="en-US" w:eastAsia="zh-CN" w:bidi="ar"/>
              </w:rPr>
              <w:t>餐饮具洗消情况</w:t>
            </w:r>
          </w:p>
        </w:tc>
        <w:tc>
          <w:tcPr>
            <w:tcW w:w="1033" w:type="pct"/>
            <w:shd w:val="clear" w:color="auto" w:fill="auto"/>
            <w:vAlign w:val="center"/>
          </w:tcPr>
          <w:p w14:paraId="022032E6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lang w:val="en-US" w:eastAsia="zh-CN" w:bidi="ar"/>
              </w:rPr>
              <w:t>餐饮具清洗、消毒和保洁情况</w:t>
            </w:r>
          </w:p>
        </w:tc>
        <w:tc>
          <w:tcPr>
            <w:tcW w:w="1401" w:type="pct"/>
            <w:shd w:val="clear" w:color="auto" w:fill="auto"/>
            <w:vAlign w:val="center"/>
          </w:tcPr>
          <w:p w14:paraId="3C94BC43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lang w:val="en-US" w:eastAsia="zh-CN" w:bidi="ar"/>
              </w:rPr>
              <w:t>1. 餐饮具清洗水池数量充足，与粗加工水池分开；2. 洗涤剂、消毒剂符合国家标准；3. 消毒后餐具干净无斑迹；4. 化学消毒达到规定浓度、浸泡时间；5. 热力消毒达到温度、时间要求；6. 消毒效果符合标准；7. 消毒后餐饮具存放专用保洁设施，保洁设施标识清晰。</w:t>
            </w:r>
          </w:p>
        </w:tc>
        <w:tc>
          <w:tcPr>
            <w:tcW w:w="146" w:type="pct"/>
            <w:shd w:val="clear" w:color="auto" w:fill="auto"/>
            <w:vAlign w:val="center"/>
          </w:tcPr>
          <w:p w14:paraId="14A08DDE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lang w:val="en-US" w:eastAsia="zh-CN" w:bidi="ar"/>
              </w:rPr>
              <w:t>8</w:t>
            </w:r>
          </w:p>
        </w:tc>
        <w:tc>
          <w:tcPr>
            <w:tcW w:w="1044" w:type="pct"/>
            <w:shd w:val="clear" w:color="auto" w:fill="auto"/>
            <w:vAlign w:val="center"/>
          </w:tcPr>
          <w:p w14:paraId="1E3BFCBC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lang w:val="en-US" w:eastAsia="zh-CN" w:bidi="ar"/>
              </w:rPr>
              <w:t>每发现一处不规范扣 2 分</w:t>
            </w:r>
          </w:p>
        </w:tc>
        <w:tc>
          <w:tcPr>
            <w:tcW w:w="290" w:type="pct"/>
            <w:shd w:val="clear" w:color="auto" w:fill="auto"/>
            <w:vAlign w:val="center"/>
          </w:tcPr>
          <w:p w14:paraId="4155BAD9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  <w:szCs w:val="24"/>
              </w:rPr>
            </w:pPr>
          </w:p>
        </w:tc>
        <w:tc>
          <w:tcPr>
            <w:tcW w:w="445" w:type="pct"/>
            <w:shd w:val="clear" w:color="auto" w:fill="auto"/>
            <w:vAlign w:val="center"/>
          </w:tcPr>
          <w:p w14:paraId="59EBC436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  <w:szCs w:val="24"/>
              </w:rPr>
            </w:pPr>
          </w:p>
        </w:tc>
      </w:tr>
      <w:tr w14:paraId="04FB1A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146" w:type="pct"/>
            <w:shd w:val="clear" w:color="auto" w:fill="auto"/>
            <w:vAlign w:val="center"/>
          </w:tcPr>
          <w:p w14:paraId="11F29A61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lang w:val="en-US" w:eastAsia="zh-CN" w:bidi="ar"/>
              </w:rPr>
              <w:t>9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78D56EB8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lang w:val="en-US" w:eastAsia="zh-CN" w:bidi="ar"/>
              </w:rPr>
              <w:t>膳食质量情况</w:t>
            </w:r>
          </w:p>
        </w:tc>
        <w:tc>
          <w:tcPr>
            <w:tcW w:w="1033" w:type="pct"/>
            <w:shd w:val="clear" w:color="auto" w:fill="auto"/>
            <w:vAlign w:val="center"/>
          </w:tcPr>
          <w:p w14:paraId="5BD6C9CA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lang w:val="en-US" w:eastAsia="zh-CN" w:bidi="ar"/>
              </w:rPr>
              <w:t>饭菜份量质量及菜式搭配</w:t>
            </w:r>
          </w:p>
        </w:tc>
        <w:tc>
          <w:tcPr>
            <w:tcW w:w="1401" w:type="pct"/>
            <w:shd w:val="clear" w:color="auto" w:fill="auto"/>
            <w:vAlign w:val="center"/>
          </w:tcPr>
          <w:p w14:paraId="01180CBB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lang w:val="en-US" w:eastAsia="zh-CN" w:bidi="ar"/>
              </w:rPr>
              <w:t>1. 大米食材符合食品安全要求；2. 食用油合规；3. 每月推出不少于 3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lang w:val="en-US" w:eastAsia="zh-CN" w:bidi="ar"/>
              </w:rPr>
              <w:noBreakHyphen/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lang w:val="en-US" w:eastAsia="zh-CN" w:bidi="ar"/>
              </w:rPr>
              <w:t>8 个新菜品，每周提前公示菜单；4. 菜式搭配科学合理。</w:t>
            </w:r>
          </w:p>
        </w:tc>
        <w:tc>
          <w:tcPr>
            <w:tcW w:w="146" w:type="pct"/>
            <w:shd w:val="clear" w:color="auto" w:fill="auto"/>
            <w:vAlign w:val="center"/>
          </w:tcPr>
          <w:p w14:paraId="114F376F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1044" w:type="pct"/>
            <w:shd w:val="clear" w:color="auto" w:fill="auto"/>
            <w:vAlign w:val="center"/>
          </w:tcPr>
          <w:p w14:paraId="5198B5B9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lang w:val="en-US" w:eastAsia="zh-CN" w:bidi="ar"/>
              </w:rPr>
              <w:t>每发现一处不符合扣 2 分</w:t>
            </w:r>
          </w:p>
        </w:tc>
        <w:tc>
          <w:tcPr>
            <w:tcW w:w="290" w:type="pct"/>
            <w:shd w:val="clear" w:color="auto" w:fill="auto"/>
            <w:vAlign w:val="center"/>
          </w:tcPr>
          <w:p w14:paraId="0353A738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  <w:szCs w:val="24"/>
              </w:rPr>
            </w:pPr>
          </w:p>
        </w:tc>
        <w:tc>
          <w:tcPr>
            <w:tcW w:w="445" w:type="pct"/>
            <w:shd w:val="clear" w:color="auto" w:fill="auto"/>
            <w:vAlign w:val="center"/>
          </w:tcPr>
          <w:p w14:paraId="0E62E04C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  <w:szCs w:val="24"/>
              </w:rPr>
            </w:pPr>
          </w:p>
        </w:tc>
      </w:tr>
      <w:tr w14:paraId="235F82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146" w:type="pct"/>
            <w:shd w:val="clear" w:color="auto" w:fill="auto"/>
            <w:vAlign w:val="center"/>
          </w:tcPr>
          <w:p w14:paraId="69D399BD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lang w:val="en-US" w:eastAsia="zh-CN" w:bidi="ar"/>
              </w:rPr>
              <w:t>10</w:t>
            </w:r>
          </w:p>
        </w:tc>
        <w:tc>
          <w:tcPr>
            <w:tcW w:w="343" w:type="pct"/>
            <w:shd w:val="clear" w:color="auto" w:fill="auto"/>
            <w:vAlign w:val="center"/>
          </w:tcPr>
          <w:p w14:paraId="780E7B15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lang w:val="en-US" w:eastAsia="zh-CN" w:bidi="ar"/>
              </w:rPr>
              <w:t>其他有关情况</w:t>
            </w:r>
          </w:p>
        </w:tc>
        <w:tc>
          <w:tcPr>
            <w:tcW w:w="1033" w:type="pct"/>
            <w:shd w:val="clear" w:color="auto" w:fill="auto"/>
            <w:vAlign w:val="center"/>
          </w:tcPr>
          <w:p w14:paraId="613CE571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lang w:val="en-US" w:eastAsia="zh-CN" w:bidi="ar"/>
              </w:rPr>
              <w:t>留样规定情况</w:t>
            </w:r>
          </w:p>
        </w:tc>
        <w:tc>
          <w:tcPr>
            <w:tcW w:w="1401" w:type="pct"/>
            <w:shd w:val="clear" w:color="auto" w:fill="auto"/>
            <w:vAlign w:val="center"/>
          </w:tcPr>
          <w:p w14:paraId="7E6092F9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lang w:val="en-US" w:eastAsia="zh-CN" w:bidi="ar"/>
              </w:rPr>
              <w:t>严格落实食品留样制度</w:t>
            </w:r>
          </w:p>
        </w:tc>
        <w:tc>
          <w:tcPr>
            <w:tcW w:w="146" w:type="pct"/>
            <w:shd w:val="clear" w:color="auto" w:fill="auto"/>
            <w:vAlign w:val="center"/>
          </w:tcPr>
          <w:p w14:paraId="0AC4F04C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1044" w:type="pct"/>
            <w:shd w:val="clear" w:color="auto" w:fill="auto"/>
            <w:vAlign w:val="center"/>
          </w:tcPr>
          <w:p w14:paraId="20ED5BCC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lang w:val="en-US" w:eastAsia="zh-CN" w:bidi="ar"/>
              </w:rPr>
              <w:t>未按规定留样扣 4 分</w:t>
            </w:r>
          </w:p>
        </w:tc>
        <w:tc>
          <w:tcPr>
            <w:tcW w:w="290" w:type="pct"/>
            <w:shd w:val="clear" w:color="auto" w:fill="auto"/>
            <w:vAlign w:val="center"/>
          </w:tcPr>
          <w:p w14:paraId="31BC49F3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  <w:szCs w:val="24"/>
              </w:rPr>
            </w:pPr>
          </w:p>
        </w:tc>
        <w:tc>
          <w:tcPr>
            <w:tcW w:w="445" w:type="pct"/>
            <w:shd w:val="clear" w:color="auto" w:fill="auto"/>
            <w:vAlign w:val="center"/>
          </w:tcPr>
          <w:p w14:paraId="6D1E0BBB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  <w:szCs w:val="24"/>
              </w:rPr>
            </w:pPr>
          </w:p>
        </w:tc>
      </w:tr>
      <w:tr w14:paraId="703983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146" w:type="pct"/>
            <w:shd w:val="clear" w:color="auto" w:fill="auto"/>
            <w:vAlign w:val="center"/>
          </w:tcPr>
          <w:p w14:paraId="7180442B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  <w:szCs w:val="24"/>
              </w:rPr>
            </w:pPr>
          </w:p>
        </w:tc>
        <w:tc>
          <w:tcPr>
            <w:tcW w:w="343" w:type="pct"/>
            <w:shd w:val="clear" w:color="auto" w:fill="auto"/>
            <w:vAlign w:val="center"/>
          </w:tcPr>
          <w:p w14:paraId="6EE8B8C4">
            <w:pPr>
              <w:keepNext/>
              <w:snapToGrid w:val="0"/>
              <w:ind w:left="0" w:leftChars="0" w:right="0" w:rightChars="0" w:firstLine="0" w:firstLineChars="0"/>
              <w:jc w:val="left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  <w:szCs w:val="24"/>
              </w:rPr>
            </w:pPr>
          </w:p>
        </w:tc>
        <w:tc>
          <w:tcPr>
            <w:tcW w:w="1033" w:type="pct"/>
            <w:shd w:val="clear" w:color="auto" w:fill="auto"/>
            <w:vAlign w:val="center"/>
          </w:tcPr>
          <w:p w14:paraId="224B06D1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lang w:val="en-US" w:eastAsia="zh-CN" w:bidi="ar"/>
              </w:rPr>
              <w:t>废弃油脂及餐余垃圾处理</w:t>
            </w:r>
          </w:p>
        </w:tc>
        <w:tc>
          <w:tcPr>
            <w:tcW w:w="1401" w:type="pct"/>
            <w:shd w:val="clear" w:color="auto" w:fill="auto"/>
            <w:vAlign w:val="center"/>
          </w:tcPr>
          <w:p w14:paraId="0279D1FC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lang w:val="en-US" w:eastAsia="zh-CN" w:bidi="ar"/>
              </w:rPr>
              <w:t>1. 按规定处置废弃油脂；2. 按规定处置餐余垃圾。</w:t>
            </w:r>
          </w:p>
        </w:tc>
        <w:tc>
          <w:tcPr>
            <w:tcW w:w="146" w:type="pct"/>
            <w:shd w:val="clear" w:color="auto" w:fill="auto"/>
            <w:vAlign w:val="center"/>
          </w:tcPr>
          <w:p w14:paraId="492FCA14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1044" w:type="pct"/>
            <w:shd w:val="clear" w:color="auto" w:fill="auto"/>
            <w:vAlign w:val="center"/>
          </w:tcPr>
          <w:p w14:paraId="2E09DB5E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lang w:val="en-US" w:eastAsia="zh-CN" w:bidi="ar"/>
              </w:rPr>
              <w:t>每发现一处不规范扣 2 分</w:t>
            </w:r>
          </w:p>
        </w:tc>
        <w:tc>
          <w:tcPr>
            <w:tcW w:w="290" w:type="pct"/>
            <w:shd w:val="clear" w:color="auto" w:fill="auto"/>
            <w:vAlign w:val="center"/>
          </w:tcPr>
          <w:p w14:paraId="44D33ABA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  <w:szCs w:val="24"/>
              </w:rPr>
            </w:pPr>
          </w:p>
        </w:tc>
        <w:tc>
          <w:tcPr>
            <w:tcW w:w="445" w:type="pct"/>
            <w:shd w:val="clear" w:color="auto" w:fill="auto"/>
            <w:vAlign w:val="center"/>
          </w:tcPr>
          <w:p w14:paraId="62A790E3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  <w:szCs w:val="24"/>
              </w:rPr>
            </w:pPr>
          </w:p>
        </w:tc>
      </w:tr>
      <w:tr w14:paraId="19E19B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146" w:type="pct"/>
            <w:shd w:val="clear" w:color="auto" w:fill="auto"/>
            <w:vAlign w:val="center"/>
          </w:tcPr>
          <w:p w14:paraId="04C447BA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  <w:szCs w:val="24"/>
              </w:rPr>
            </w:pPr>
          </w:p>
        </w:tc>
        <w:tc>
          <w:tcPr>
            <w:tcW w:w="343" w:type="pct"/>
            <w:shd w:val="clear" w:color="auto" w:fill="auto"/>
            <w:vAlign w:val="center"/>
          </w:tcPr>
          <w:p w14:paraId="6E42E374">
            <w:pPr>
              <w:keepNext/>
              <w:snapToGrid w:val="0"/>
              <w:ind w:left="0" w:leftChars="0" w:right="0" w:rightChars="0" w:firstLine="0" w:firstLineChars="0"/>
              <w:jc w:val="left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  <w:szCs w:val="24"/>
              </w:rPr>
            </w:pPr>
          </w:p>
        </w:tc>
        <w:tc>
          <w:tcPr>
            <w:tcW w:w="1033" w:type="pct"/>
            <w:shd w:val="clear" w:color="auto" w:fill="auto"/>
            <w:vAlign w:val="center"/>
          </w:tcPr>
          <w:p w14:paraId="3E920669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lang w:val="en-US" w:eastAsia="zh-CN" w:bidi="ar"/>
              </w:rPr>
              <w:t>执行临时任务情况</w:t>
            </w:r>
          </w:p>
        </w:tc>
        <w:tc>
          <w:tcPr>
            <w:tcW w:w="1401" w:type="pct"/>
            <w:shd w:val="clear" w:color="auto" w:fill="auto"/>
            <w:vAlign w:val="center"/>
          </w:tcPr>
          <w:p w14:paraId="4A0F3682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lang w:val="en-US" w:eastAsia="zh-CN" w:bidi="ar"/>
              </w:rPr>
              <w:t>积极落实上级及医院交办临时任务</w:t>
            </w:r>
          </w:p>
        </w:tc>
        <w:tc>
          <w:tcPr>
            <w:tcW w:w="146" w:type="pct"/>
            <w:shd w:val="clear" w:color="auto" w:fill="auto"/>
            <w:vAlign w:val="center"/>
          </w:tcPr>
          <w:p w14:paraId="4FED5F1A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1044" w:type="pct"/>
            <w:shd w:val="clear" w:color="auto" w:fill="auto"/>
            <w:vAlign w:val="center"/>
          </w:tcPr>
          <w:p w14:paraId="565E7592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lang w:val="en-US" w:eastAsia="zh-CN" w:bidi="ar"/>
              </w:rPr>
              <w:t>落实不到位、不配合造成严重后果扣 4 分</w:t>
            </w:r>
          </w:p>
        </w:tc>
        <w:tc>
          <w:tcPr>
            <w:tcW w:w="290" w:type="pct"/>
            <w:shd w:val="clear" w:color="auto" w:fill="auto"/>
            <w:vAlign w:val="center"/>
          </w:tcPr>
          <w:p w14:paraId="17667AF1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  <w:szCs w:val="24"/>
              </w:rPr>
            </w:pPr>
          </w:p>
        </w:tc>
        <w:tc>
          <w:tcPr>
            <w:tcW w:w="445" w:type="pct"/>
            <w:shd w:val="clear" w:color="auto" w:fill="auto"/>
            <w:vAlign w:val="center"/>
          </w:tcPr>
          <w:p w14:paraId="12B21404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  <w:szCs w:val="24"/>
              </w:rPr>
            </w:pPr>
          </w:p>
        </w:tc>
      </w:tr>
      <w:tr w14:paraId="19EAEC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146" w:type="pct"/>
            <w:shd w:val="clear" w:color="auto" w:fill="auto"/>
            <w:vAlign w:val="center"/>
          </w:tcPr>
          <w:p w14:paraId="73EFF777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  <w:szCs w:val="24"/>
              </w:rPr>
            </w:pPr>
          </w:p>
        </w:tc>
        <w:tc>
          <w:tcPr>
            <w:tcW w:w="343" w:type="pct"/>
            <w:shd w:val="clear" w:color="auto" w:fill="auto"/>
            <w:vAlign w:val="center"/>
          </w:tcPr>
          <w:p w14:paraId="3EF2E701">
            <w:pPr>
              <w:keepNext/>
              <w:snapToGrid w:val="0"/>
              <w:ind w:left="0" w:leftChars="0" w:right="0" w:rightChars="0" w:firstLine="0" w:firstLineChars="0"/>
              <w:jc w:val="left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  <w:szCs w:val="24"/>
              </w:rPr>
            </w:pPr>
          </w:p>
        </w:tc>
        <w:tc>
          <w:tcPr>
            <w:tcW w:w="1033" w:type="pct"/>
            <w:shd w:val="clear" w:color="auto" w:fill="auto"/>
            <w:vAlign w:val="center"/>
          </w:tcPr>
          <w:p w14:paraId="109192CE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lang w:val="en-US" w:eastAsia="zh-CN" w:bidi="ar"/>
              </w:rPr>
              <w:t>投诉情况</w:t>
            </w:r>
          </w:p>
        </w:tc>
        <w:tc>
          <w:tcPr>
            <w:tcW w:w="1401" w:type="pct"/>
            <w:shd w:val="clear" w:color="auto" w:fill="auto"/>
            <w:vAlign w:val="center"/>
          </w:tcPr>
          <w:p w14:paraId="08088DD5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lang w:val="en-US" w:eastAsia="zh-CN" w:bidi="ar"/>
              </w:rPr>
              <w:t>有效服务、质量、安全投诉</w:t>
            </w:r>
          </w:p>
        </w:tc>
        <w:tc>
          <w:tcPr>
            <w:tcW w:w="146" w:type="pct"/>
            <w:shd w:val="clear" w:color="auto" w:fill="auto"/>
            <w:vAlign w:val="center"/>
          </w:tcPr>
          <w:p w14:paraId="7FB6954B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1044" w:type="pct"/>
            <w:shd w:val="clear" w:color="auto" w:fill="auto"/>
            <w:vAlign w:val="center"/>
          </w:tcPr>
          <w:p w14:paraId="699253CB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lang w:val="en-US" w:eastAsia="zh-CN" w:bidi="ar"/>
              </w:rPr>
              <w:t>每宗有效投诉扣 2 分</w:t>
            </w:r>
          </w:p>
        </w:tc>
        <w:tc>
          <w:tcPr>
            <w:tcW w:w="290" w:type="pct"/>
            <w:shd w:val="clear" w:color="auto" w:fill="auto"/>
            <w:vAlign w:val="center"/>
          </w:tcPr>
          <w:p w14:paraId="70248BCD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  <w:szCs w:val="24"/>
              </w:rPr>
            </w:pPr>
          </w:p>
        </w:tc>
        <w:tc>
          <w:tcPr>
            <w:tcW w:w="445" w:type="pct"/>
            <w:shd w:val="clear" w:color="auto" w:fill="auto"/>
            <w:vAlign w:val="center"/>
          </w:tcPr>
          <w:p w14:paraId="1119C005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  <w:szCs w:val="24"/>
              </w:rPr>
            </w:pPr>
          </w:p>
        </w:tc>
      </w:tr>
      <w:tr w14:paraId="7DE80D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146" w:type="pct"/>
            <w:shd w:val="clear" w:color="auto" w:fill="auto"/>
            <w:vAlign w:val="center"/>
          </w:tcPr>
          <w:p w14:paraId="6E7397C7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  <w:szCs w:val="24"/>
              </w:rPr>
            </w:pPr>
          </w:p>
        </w:tc>
        <w:tc>
          <w:tcPr>
            <w:tcW w:w="343" w:type="pct"/>
            <w:shd w:val="clear" w:color="auto" w:fill="auto"/>
            <w:vAlign w:val="center"/>
          </w:tcPr>
          <w:p w14:paraId="2FF3BCBD">
            <w:pPr>
              <w:keepNext/>
              <w:snapToGrid w:val="0"/>
              <w:ind w:left="0" w:leftChars="0" w:right="0" w:rightChars="0" w:firstLine="0" w:firstLineChars="0"/>
              <w:jc w:val="left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  <w:szCs w:val="24"/>
              </w:rPr>
            </w:pPr>
          </w:p>
        </w:tc>
        <w:tc>
          <w:tcPr>
            <w:tcW w:w="1033" w:type="pct"/>
            <w:shd w:val="clear" w:color="auto" w:fill="auto"/>
            <w:vAlign w:val="center"/>
          </w:tcPr>
          <w:p w14:paraId="59E12BAB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lang w:val="en-US" w:eastAsia="zh-CN" w:bidi="ar"/>
              </w:rPr>
              <w:t>整改情况</w:t>
            </w:r>
          </w:p>
        </w:tc>
        <w:tc>
          <w:tcPr>
            <w:tcW w:w="1401" w:type="pct"/>
            <w:shd w:val="clear" w:color="auto" w:fill="auto"/>
            <w:vAlign w:val="center"/>
          </w:tcPr>
          <w:p w14:paraId="6C9ADC98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lang w:val="en-US" w:eastAsia="zh-CN" w:bidi="ar"/>
              </w:rPr>
              <w:t>是否按规定时限完成问题整改，整改到位</w:t>
            </w:r>
          </w:p>
        </w:tc>
        <w:tc>
          <w:tcPr>
            <w:tcW w:w="146" w:type="pct"/>
            <w:shd w:val="clear" w:color="auto" w:fill="auto"/>
            <w:vAlign w:val="center"/>
          </w:tcPr>
          <w:p w14:paraId="37D10A36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1044" w:type="pct"/>
            <w:shd w:val="clear" w:color="auto" w:fill="auto"/>
            <w:vAlign w:val="center"/>
          </w:tcPr>
          <w:p w14:paraId="57F9D241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0"/>
                <w:sz w:val="24"/>
                <w:szCs w:val="24"/>
                <w:lang w:val="en-US" w:eastAsia="zh-CN" w:bidi="ar"/>
              </w:rPr>
              <w:t>未按期整改或整改不合格每宗扣 4 分</w:t>
            </w:r>
          </w:p>
        </w:tc>
        <w:tc>
          <w:tcPr>
            <w:tcW w:w="290" w:type="pct"/>
            <w:shd w:val="clear" w:color="auto" w:fill="auto"/>
            <w:vAlign w:val="center"/>
          </w:tcPr>
          <w:p w14:paraId="13A6DA9F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  <w:szCs w:val="24"/>
              </w:rPr>
            </w:pPr>
          </w:p>
        </w:tc>
        <w:tc>
          <w:tcPr>
            <w:tcW w:w="445" w:type="pct"/>
            <w:shd w:val="clear" w:color="auto" w:fill="auto"/>
            <w:vAlign w:val="center"/>
          </w:tcPr>
          <w:p w14:paraId="08750FF0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4"/>
                <w:szCs w:val="24"/>
              </w:rPr>
            </w:pPr>
          </w:p>
        </w:tc>
      </w:tr>
    </w:tbl>
    <w:p w14:paraId="602FB4E8">
      <w:pPr>
        <w:pStyle w:val="6"/>
        <w:widowControl/>
        <w:jc w:val="both"/>
        <w:rPr>
          <w:rFonts w:hint="eastAsia" w:ascii="方正仿宋_GB2312" w:hAnsi="方正仿宋_GB2312" w:eastAsia="方正仿宋_GB2312" w:cs="方正仿宋_GB2312"/>
        </w:rPr>
      </w:pPr>
      <w:r>
        <w:rPr>
          <w:rFonts w:hint="eastAsia" w:ascii="方正仿宋_GB2312" w:hAnsi="方正仿宋_GB2312" w:eastAsia="方正仿宋_GB2312" w:cs="方正仿宋_GB2312"/>
          <w:color w:val="auto"/>
        </w:rPr>
        <w:t>总扣分：________ 得分：________ 总体评价：____________食堂承包单位负责人（盖章）：____________ 日期：________ 监督检查人员签名：________ 日期：________备注：1. 以实地现场检查为准，发现问题如实扣分，对应项目分值扣完为止； 2. 考核结果经双方确认，考核罚款直接从伙食费结算款扣除； 3. 检查材料由医院后勤管理科汇总归档备查。一票否决提示（不在本表分值内，合同约束）：发生严重食物中毒、转包分包、证照吊销等情形，甲方有权直接解除合同。</w:t>
      </w:r>
    </w:p>
    <w:p w14:paraId="4F1A9DC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5EC7A7AE-1DDB-4064-8609-94CB93E6512B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CFEED0AD-9379-4AAF-A975-BC6B6838CA6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6E726C"/>
    <w:rsid w:val="6F6E7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美化附录标题"/>
    <w:basedOn w:val="1"/>
    <w:next w:val="1"/>
    <w:semiHidden/>
    <w:uiPriority w:val="0"/>
    <w:pPr>
      <w:spacing w:before="340" w:after="260" w:line="360" w:lineRule="auto"/>
      <w:jc w:val="center"/>
    </w:pPr>
    <w:rPr>
      <w:rFonts w:ascii="Times New Roman" w:eastAsia="黑体"/>
      <w:color w:val="1F4E9C"/>
      <w:sz w:val="32"/>
    </w:rPr>
  </w:style>
  <w:style w:type="paragraph" w:customStyle="1" w:styleId="5">
    <w:name w:val="美化表格标题"/>
    <w:basedOn w:val="1"/>
    <w:next w:val="1"/>
    <w:semiHidden/>
    <w:qFormat/>
    <w:uiPriority w:val="0"/>
    <w:pPr>
      <w:jc w:val="center"/>
    </w:pPr>
    <w:rPr>
      <w:rFonts w:ascii="Times New Roman" w:eastAsia="宋体"/>
      <w:color w:val="595959"/>
    </w:rPr>
  </w:style>
  <w:style w:type="paragraph" w:customStyle="1" w:styleId="6">
    <w:name w:val="美化落款"/>
    <w:basedOn w:val="1"/>
    <w:next w:val="1"/>
    <w:semiHidden/>
    <w:uiPriority w:val="0"/>
    <w:pPr>
      <w:spacing w:line="360" w:lineRule="auto"/>
      <w:jc w:val="right"/>
    </w:pPr>
    <w:rPr>
      <w:rFonts w:ascii="Times New Roman" w:eastAsia="宋体"/>
      <w:color w:val="00000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2026-10-26T03:30:00Z</dcterms:created>
  <dc:creator>坚持还在吗</dc:creator>
  <cp:lastModifiedBy>坚持还在吗</cp:lastModifiedBy>
  <dcterms:modified xsi:type="dcterms:W3CDTF">2026-10-26T03:34:08Z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32EEA8698A714BECA5F388B2DE718767_11</vt:lpwstr>
  </property>
  <property fmtid="{D5CDD505-2E9C-101B-9397-08002B2CF9AE}" pid="4" name="KSOTemplateDocerSaveRecord">
    <vt:lpwstr>eyJoZGlkIjoiNzdiZTM4OWZkNjQwNDlmZTAzNjA3Yzc4Nzk4NWNjMDMiLCJ1c2VySWQiOiIyMTgwMDg5MzcifQ==</vt:lpwstr>
  </property>
</Properties>
</file>